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DF3" w:rsidRDefault="00122DF3" w:rsidP="00017A63">
      <w:pPr>
        <w:spacing w:after="0"/>
        <w:rPr>
          <w:rFonts w:cs="Calibri"/>
          <w:sz w:val="28"/>
          <w:szCs w:val="28"/>
        </w:rPr>
      </w:pPr>
      <w:r w:rsidRPr="00017A63">
        <w:rPr>
          <w:rFonts w:cs="Calibri"/>
          <w:b/>
          <w:sz w:val="36"/>
          <w:szCs w:val="36"/>
        </w:rPr>
        <w:t>Intitulé de l’</w:t>
      </w:r>
      <w:r>
        <w:rPr>
          <w:rFonts w:cs="Calibri"/>
          <w:b/>
          <w:sz w:val="36"/>
          <w:szCs w:val="36"/>
        </w:rPr>
        <w:t>UE de choix</w:t>
      </w:r>
      <w:r w:rsidRPr="00017A63">
        <w:rPr>
          <w:rFonts w:cs="Calibri"/>
        </w:rPr>
        <w:t> :</w:t>
      </w:r>
      <w:r w:rsidR="00223457">
        <w:rPr>
          <w:rFonts w:cs="Calibri"/>
        </w:rPr>
        <w:t xml:space="preserve"> </w:t>
      </w:r>
    </w:p>
    <w:p w:rsidR="00122DF3" w:rsidRDefault="00223457" w:rsidP="00017A63">
      <w:pPr>
        <w:spacing w:after="0"/>
        <w:rPr>
          <w:rFonts w:cs="Calibri"/>
          <w:sz w:val="36"/>
          <w:szCs w:val="36"/>
        </w:rPr>
      </w:pPr>
      <w:r>
        <w:rPr>
          <w:rFonts w:cs="Calibri"/>
          <w:b/>
          <w:sz w:val="32"/>
          <w:szCs w:val="32"/>
        </w:rPr>
        <w:t xml:space="preserve">UE 13-3 </w:t>
      </w:r>
      <w:r w:rsidR="00122DF3">
        <w:rPr>
          <w:rFonts w:cs="Calibri"/>
          <w:b/>
          <w:sz w:val="32"/>
          <w:szCs w:val="32"/>
        </w:rPr>
        <w:t>Plantes et molécules d’intérêt en pharmacie</w:t>
      </w:r>
      <w:r w:rsidR="00122DF3" w:rsidRPr="00017A63">
        <w:rPr>
          <w:rFonts w:cs="Calibri"/>
          <w:b/>
          <w:sz w:val="32"/>
          <w:szCs w:val="32"/>
        </w:rPr>
        <w:t xml:space="preserve"> </w:t>
      </w:r>
      <w:r w:rsidR="00122DF3">
        <w:rPr>
          <w:rFonts w:cs="Calibri"/>
          <w:sz w:val="36"/>
          <w:szCs w:val="36"/>
        </w:rPr>
        <w:t>N° S6</w:t>
      </w:r>
      <w:r w:rsidR="00122DF3" w:rsidRPr="00017A63">
        <w:rPr>
          <w:rFonts w:cs="Calibri"/>
          <w:sz w:val="36"/>
          <w:szCs w:val="36"/>
        </w:rPr>
        <w:t>-</w:t>
      </w:r>
    </w:p>
    <w:p w:rsidR="00122DF3" w:rsidRPr="009C0DB9" w:rsidRDefault="00122DF3" w:rsidP="00017A63">
      <w:pPr>
        <w:spacing w:after="0"/>
        <w:rPr>
          <w:rFonts w:cs="Calibri"/>
          <w:sz w:val="28"/>
          <w:szCs w:val="36"/>
        </w:rPr>
      </w:pPr>
      <w:r w:rsidRPr="009C0DB9">
        <w:rPr>
          <w:rFonts w:cs="Calibri"/>
          <w:sz w:val="28"/>
          <w:szCs w:val="36"/>
        </w:rPr>
        <w:t>Responsable : K. PETIT</w:t>
      </w:r>
    </w:p>
    <w:p w:rsidR="00122DF3" w:rsidRPr="00017A63" w:rsidRDefault="00122DF3" w:rsidP="00017A63">
      <w:pPr>
        <w:spacing w:after="0"/>
        <w:rPr>
          <w:rFonts w:cs="Calibri"/>
          <w:sz w:val="36"/>
          <w:szCs w:val="36"/>
        </w:rPr>
      </w:pPr>
    </w:p>
    <w:p w:rsidR="00122DF3" w:rsidRPr="00017A63" w:rsidRDefault="00122DF3" w:rsidP="00017A63">
      <w:pPr>
        <w:spacing w:after="0"/>
        <w:rPr>
          <w:rFonts w:cs="Calibri"/>
          <w:b/>
          <w:sz w:val="24"/>
          <w:szCs w:val="24"/>
        </w:rPr>
      </w:pPr>
      <w:r w:rsidRPr="00017A63">
        <w:rPr>
          <w:rFonts w:cs="Calibri"/>
          <w:b/>
          <w:sz w:val="24"/>
          <w:szCs w:val="24"/>
        </w:rPr>
        <w:t>Répartition des heures d’enseignement</w:t>
      </w:r>
    </w:p>
    <w:tbl>
      <w:tblPr>
        <w:tblW w:w="8755" w:type="dxa"/>
        <w:tblBorders>
          <w:top w:val="single" w:sz="8" w:space="0" w:color="4F81BD"/>
          <w:bottom w:val="single" w:sz="8" w:space="0" w:color="4F81BD"/>
        </w:tblBorders>
        <w:tblLook w:val="00A0"/>
      </w:tblPr>
      <w:tblGrid>
        <w:gridCol w:w="716"/>
        <w:gridCol w:w="708"/>
        <w:gridCol w:w="712"/>
        <w:gridCol w:w="712"/>
        <w:gridCol w:w="708"/>
        <w:gridCol w:w="708"/>
        <w:gridCol w:w="1359"/>
        <w:gridCol w:w="1289"/>
        <w:gridCol w:w="1843"/>
      </w:tblGrid>
      <w:tr w:rsidR="00122DF3" w:rsidRPr="00017A63" w:rsidTr="00975A55">
        <w:trPr>
          <w:trHeight w:val="226"/>
        </w:trPr>
        <w:tc>
          <w:tcPr>
            <w:tcW w:w="1424" w:type="dxa"/>
            <w:gridSpan w:val="2"/>
            <w:tcBorders>
              <w:top w:val="single" w:sz="8" w:space="0" w:color="4F81BD"/>
              <w:left w:val="nil"/>
              <w:bottom w:val="single" w:sz="8" w:space="0" w:color="4F81BD"/>
              <w:right w:val="nil"/>
            </w:tcBorders>
          </w:tcPr>
          <w:p w:rsidR="00122DF3" w:rsidRPr="00017A63" w:rsidRDefault="00122DF3" w:rsidP="00F1578C">
            <w:pPr>
              <w:spacing w:after="0" w:line="240" w:lineRule="auto"/>
              <w:rPr>
                <w:rFonts w:cs="Calibri"/>
                <w:b/>
                <w:bCs/>
                <w:color w:val="365F91"/>
              </w:rPr>
            </w:pPr>
            <w:r>
              <w:rPr>
                <w:rFonts w:cs="Calibri"/>
                <w:b/>
                <w:bCs/>
                <w:color w:val="365F91"/>
              </w:rPr>
              <w:t xml:space="preserve">CM : 0 </w:t>
            </w:r>
            <w:r w:rsidRPr="00017A63">
              <w:rPr>
                <w:rFonts w:cs="Calibri"/>
                <w:b/>
                <w:bCs/>
                <w:color w:val="365F91"/>
              </w:rPr>
              <w:t>h</w:t>
            </w:r>
            <w:r w:rsidRPr="00017A63">
              <w:rPr>
                <w:rFonts w:cs="Calibri"/>
                <w:b/>
                <w:bCs/>
                <w:color w:val="365F91"/>
              </w:rPr>
              <w:tab/>
              <w:t xml:space="preserve">    </w:t>
            </w:r>
          </w:p>
        </w:tc>
        <w:tc>
          <w:tcPr>
            <w:tcW w:w="1424" w:type="dxa"/>
            <w:gridSpan w:val="2"/>
            <w:tcBorders>
              <w:top w:val="single" w:sz="8" w:space="0" w:color="4F81BD"/>
              <w:left w:val="nil"/>
              <w:bottom w:val="single" w:sz="8" w:space="0" w:color="4F81BD"/>
              <w:right w:val="nil"/>
            </w:tcBorders>
          </w:tcPr>
          <w:p w:rsidR="00122DF3" w:rsidRPr="00017A63" w:rsidRDefault="00122DF3" w:rsidP="00F1578C">
            <w:pPr>
              <w:spacing w:after="0" w:line="240" w:lineRule="auto"/>
              <w:rPr>
                <w:rFonts w:cs="Calibri"/>
                <w:b/>
                <w:bCs/>
                <w:color w:val="365F91"/>
              </w:rPr>
            </w:pPr>
            <w:r w:rsidRPr="00017A63">
              <w:rPr>
                <w:rFonts w:cs="Calibri"/>
                <w:b/>
                <w:bCs/>
                <w:color w:val="365F91"/>
              </w:rPr>
              <w:t>ED</w:t>
            </w:r>
            <w:r>
              <w:rPr>
                <w:rFonts w:cs="Calibri"/>
                <w:b/>
                <w:bCs/>
                <w:color w:val="365F91"/>
              </w:rPr>
              <w:t> : 2</w:t>
            </w:r>
            <w:r w:rsidRPr="00017A63">
              <w:rPr>
                <w:rFonts w:cs="Calibri"/>
                <w:b/>
                <w:bCs/>
                <w:color w:val="365F91"/>
              </w:rPr>
              <w:t xml:space="preserve"> h</w:t>
            </w:r>
          </w:p>
        </w:tc>
        <w:tc>
          <w:tcPr>
            <w:tcW w:w="1416" w:type="dxa"/>
            <w:gridSpan w:val="2"/>
            <w:tcBorders>
              <w:top w:val="single" w:sz="8" w:space="0" w:color="4F81BD"/>
              <w:left w:val="nil"/>
              <w:bottom w:val="single" w:sz="8" w:space="0" w:color="4F81BD"/>
              <w:right w:val="nil"/>
            </w:tcBorders>
          </w:tcPr>
          <w:p w:rsidR="00122DF3" w:rsidRPr="00017A63" w:rsidRDefault="00122DF3" w:rsidP="00F1578C">
            <w:pPr>
              <w:spacing w:after="0" w:line="240" w:lineRule="auto"/>
              <w:rPr>
                <w:rFonts w:cs="Calibri"/>
                <w:b/>
                <w:bCs/>
                <w:color w:val="365F91"/>
              </w:rPr>
            </w:pPr>
            <w:r w:rsidRPr="00017A63">
              <w:rPr>
                <w:rFonts w:cs="Calibri"/>
                <w:b/>
                <w:bCs/>
                <w:color w:val="365F91"/>
              </w:rPr>
              <w:t>TP</w:t>
            </w:r>
            <w:r>
              <w:rPr>
                <w:rFonts w:cs="Calibri"/>
                <w:b/>
                <w:bCs/>
                <w:color w:val="365F91"/>
              </w:rPr>
              <w:t> : 16</w:t>
            </w:r>
            <w:r w:rsidRPr="00017A63">
              <w:rPr>
                <w:rFonts w:cs="Calibri"/>
                <w:b/>
                <w:bCs/>
                <w:color w:val="365F91"/>
              </w:rPr>
              <w:t xml:space="preserve"> h</w:t>
            </w:r>
          </w:p>
        </w:tc>
        <w:tc>
          <w:tcPr>
            <w:tcW w:w="1359" w:type="dxa"/>
            <w:tcBorders>
              <w:top w:val="single" w:sz="8" w:space="0" w:color="4F81BD"/>
              <w:left w:val="nil"/>
              <w:bottom w:val="single" w:sz="8" w:space="0" w:color="4F81BD"/>
              <w:right w:val="nil"/>
            </w:tcBorders>
          </w:tcPr>
          <w:p w:rsidR="00122DF3" w:rsidRPr="00017A63" w:rsidRDefault="00122DF3" w:rsidP="000F5B11">
            <w:pPr>
              <w:spacing w:after="0" w:line="240" w:lineRule="auto"/>
              <w:rPr>
                <w:rFonts w:cs="Calibri"/>
                <w:b/>
                <w:bCs/>
                <w:color w:val="365F91"/>
              </w:rPr>
            </w:pPr>
            <w:r>
              <w:rPr>
                <w:rFonts w:cs="Calibri"/>
                <w:b/>
                <w:bCs/>
                <w:color w:val="365F91"/>
              </w:rPr>
              <w:t>TPE : 15h</w:t>
            </w:r>
          </w:p>
        </w:tc>
        <w:tc>
          <w:tcPr>
            <w:tcW w:w="3132" w:type="dxa"/>
            <w:gridSpan w:val="2"/>
            <w:tcBorders>
              <w:top w:val="single" w:sz="8" w:space="0" w:color="4F81BD"/>
              <w:left w:val="nil"/>
              <w:bottom w:val="single" w:sz="8" w:space="0" w:color="4F81BD"/>
              <w:right w:val="nil"/>
            </w:tcBorders>
          </w:tcPr>
          <w:p w:rsidR="00122DF3" w:rsidRPr="00017A63" w:rsidRDefault="00122DF3" w:rsidP="00975A55">
            <w:pPr>
              <w:spacing w:after="0" w:line="240" w:lineRule="auto"/>
              <w:rPr>
                <w:rFonts w:cs="Calibri"/>
                <w:b/>
                <w:bCs/>
                <w:color w:val="365F91"/>
              </w:rPr>
            </w:pPr>
            <w:r w:rsidRPr="00017A63">
              <w:rPr>
                <w:rFonts w:cs="Calibri"/>
                <w:b/>
                <w:bCs/>
                <w:color w:val="365F91"/>
              </w:rPr>
              <w:t xml:space="preserve">travail personnel : </w:t>
            </w:r>
            <w:r>
              <w:rPr>
                <w:rFonts w:cs="Calibri"/>
                <w:b/>
                <w:bCs/>
                <w:color w:val="365F91"/>
              </w:rPr>
              <w:t>15h</w:t>
            </w:r>
            <w:r w:rsidRPr="00017A63">
              <w:rPr>
                <w:rFonts w:cs="Calibri"/>
                <w:b/>
                <w:bCs/>
                <w:color w:val="365F91"/>
              </w:rPr>
              <w:tab/>
            </w:r>
          </w:p>
        </w:tc>
      </w:tr>
      <w:tr w:rsidR="00122DF3" w:rsidRPr="00017A63" w:rsidTr="00975A55">
        <w:trPr>
          <w:trHeight w:val="101"/>
        </w:trPr>
        <w:tc>
          <w:tcPr>
            <w:tcW w:w="716" w:type="dxa"/>
            <w:tcBorders>
              <w:left w:val="nil"/>
              <w:bottom w:val="single" w:sz="8" w:space="0" w:color="4F81BD"/>
              <w:right w:val="nil"/>
            </w:tcBorders>
            <w:shd w:val="clear" w:color="auto" w:fill="D3DFEE"/>
          </w:tcPr>
          <w:p w:rsidR="00122DF3" w:rsidRPr="00017A63" w:rsidRDefault="00122DF3" w:rsidP="000F5B11">
            <w:pPr>
              <w:spacing w:after="0" w:line="240" w:lineRule="auto"/>
              <w:rPr>
                <w:rFonts w:cs="Calibri"/>
                <w:b/>
                <w:bCs/>
                <w:color w:val="365F91"/>
              </w:rPr>
            </w:pPr>
          </w:p>
        </w:tc>
        <w:tc>
          <w:tcPr>
            <w:tcW w:w="708" w:type="dxa"/>
            <w:tcBorders>
              <w:left w:val="nil"/>
              <w:bottom w:val="single" w:sz="8" w:space="0" w:color="4F81BD"/>
              <w:right w:val="nil"/>
            </w:tcBorders>
            <w:shd w:val="clear" w:color="auto" w:fill="D3DFEE"/>
          </w:tcPr>
          <w:p w:rsidR="00122DF3" w:rsidRPr="00017A63" w:rsidRDefault="00122DF3" w:rsidP="000F5B11">
            <w:pPr>
              <w:spacing w:after="0" w:line="240" w:lineRule="auto"/>
              <w:rPr>
                <w:rFonts w:cs="Calibri"/>
                <w:color w:val="365F91"/>
              </w:rPr>
            </w:pPr>
          </w:p>
        </w:tc>
        <w:tc>
          <w:tcPr>
            <w:tcW w:w="712" w:type="dxa"/>
            <w:tcBorders>
              <w:left w:val="nil"/>
              <w:bottom w:val="single" w:sz="8" w:space="0" w:color="4F81BD"/>
              <w:right w:val="nil"/>
            </w:tcBorders>
            <w:shd w:val="clear" w:color="auto" w:fill="D3DFEE"/>
          </w:tcPr>
          <w:p w:rsidR="00122DF3" w:rsidRPr="00017A63" w:rsidRDefault="00122DF3" w:rsidP="000F5B11">
            <w:pPr>
              <w:spacing w:after="0" w:line="240" w:lineRule="auto"/>
              <w:rPr>
                <w:rFonts w:cs="Calibri"/>
                <w:color w:val="365F91"/>
              </w:rPr>
            </w:pPr>
          </w:p>
        </w:tc>
        <w:tc>
          <w:tcPr>
            <w:tcW w:w="712" w:type="dxa"/>
            <w:tcBorders>
              <w:left w:val="nil"/>
              <w:bottom w:val="single" w:sz="8" w:space="0" w:color="4F81BD"/>
              <w:right w:val="nil"/>
            </w:tcBorders>
            <w:shd w:val="clear" w:color="auto" w:fill="D3DFEE"/>
          </w:tcPr>
          <w:p w:rsidR="00122DF3" w:rsidRPr="00017A63" w:rsidRDefault="00122DF3" w:rsidP="000F5B11">
            <w:pPr>
              <w:spacing w:after="0" w:line="240" w:lineRule="auto"/>
              <w:rPr>
                <w:rFonts w:cs="Calibri"/>
                <w:color w:val="365F91"/>
              </w:rPr>
            </w:pPr>
          </w:p>
        </w:tc>
        <w:tc>
          <w:tcPr>
            <w:tcW w:w="708" w:type="dxa"/>
            <w:tcBorders>
              <w:left w:val="nil"/>
              <w:bottom w:val="single" w:sz="8" w:space="0" w:color="4F81BD"/>
              <w:right w:val="nil"/>
            </w:tcBorders>
            <w:shd w:val="clear" w:color="auto" w:fill="D3DFEE"/>
          </w:tcPr>
          <w:p w:rsidR="00122DF3" w:rsidRPr="00017A63" w:rsidRDefault="00122DF3" w:rsidP="000F5B11">
            <w:pPr>
              <w:spacing w:after="0" w:line="240" w:lineRule="auto"/>
              <w:rPr>
                <w:rFonts w:cs="Calibri"/>
                <w:color w:val="365F91"/>
              </w:rPr>
            </w:pPr>
          </w:p>
        </w:tc>
        <w:tc>
          <w:tcPr>
            <w:tcW w:w="708" w:type="dxa"/>
            <w:tcBorders>
              <w:left w:val="nil"/>
              <w:bottom w:val="single" w:sz="8" w:space="0" w:color="4F81BD"/>
              <w:right w:val="nil"/>
            </w:tcBorders>
            <w:shd w:val="clear" w:color="auto" w:fill="D3DFEE"/>
          </w:tcPr>
          <w:p w:rsidR="00122DF3" w:rsidRPr="00017A63" w:rsidRDefault="00122DF3" w:rsidP="000F5B11">
            <w:pPr>
              <w:spacing w:after="0" w:line="240" w:lineRule="auto"/>
              <w:rPr>
                <w:rFonts w:cs="Calibri"/>
                <w:color w:val="365F91"/>
              </w:rPr>
            </w:pPr>
          </w:p>
        </w:tc>
        <w:tc>
          <w:tcPr>
            <w:tcW w:w="1359" w:type="dxa"/>
            <w:tcBorders>
              <w:left w:val="nil"/>
              <w:bottom w:val="single" w:sz="8" w:space="0" w:color="4F81BD"/>
              <w:right w:val="nil"/>
            </w:tcBorders>
            <w:shd w:val="clear" w:color="auto" w:fill="D3DFEE"/>
          </w:tcPr>
          <w:p w:rsidR="00122DF3" w:rsidRPr="00017A63" w:rsidRDefault="00122DF3" w:rsidP="000F5B11">
            <w:pPr>
              <w:spacing w:after="0" w:line="240" w:lineRule="auto"/>
              <w:rPr>
                <w:rFonts w:cs="Calibri"/>
                <w:color w:val="365F91"/>
              </w:rPr>
            </w:pPr>
          </w:p>
        </w:tc>
        <w:tc>
          <w:tcPr>
            <w:tcW w:w="1289" w:type="dxa"/>
            <w:tcBorders>
              <w:left w:val="nil"/>
              <w:bottom w:val="single" w:sz="8" w:space="0" w:color="4F81BD"/>
              <w:right w:val="nil"/>
            </w:tcBorders>
            <w:shd w:val="clear" w:color="auto" w:fill="D3DFEE"/>
          </w:tcPr>
          <w:p w:rsidR="00122DF3" w:rsidRPr="00017A63" w:rsidRDefault="00122DF3" w:rsidP="000F5B11">
            <w:pPr>
              <w:spacing w:after="0" w:line="240" w:lineRule="auto"/>
              <w:rPr>
                <w:rFonts w:cs="Calibri"/>
                <w:color w:val="365F91"/>
              </w:rPr>
            </w:pPr>
          </w:p>
        </w:tc>
        <w:tc>
          <w:tcPr>
            <w:tcW w:w="1843" w:type="dxa"/>
            <w:tcBorders>
              <w:left w:val="nil"/>
              <w:bottom w:val="single" w:sz="8" w:space="0" w:color="4F81BD"/>
              <w:right w:val="nil"/>
            </w:tcBorders>
            <w:shd w:val="clear" w:color="auto" w:fill="D3DFEE"/>
          </w:tcPr>
          <w:p w:rsidR="00122DF3" w:rsidRPr="00017A63" w:rsidRDefault="00122DF3" w:rsidP="000F5B11">
            <w:pPr>
              <w:spacing w:after="0" w:line="240" w:lineRule="auto"/>
              <w:rPr>
                <w:rFonts w:cs="Calibri"/>
                <w:color w:val="365F91"/>
              </w:rPr>
            </w:pPr>
          </w:p>
        </w:tc>
      </w:tr>
    </w:tbl>
    <w:p w:rsidR="00122DF3" w:rsidRPr="00017A63" w:rsidRDefault="00122DF3" w:rsidP="00FA0675">
      <w:pPr>
        <w:rPr>
          <w:rFonts w:cs="Calibri"/>
          <w:b/>
          <w:sz w:val="24"/>
          <w:szCs w:val="24"/>
        </w:rPr>
      </w:pPr>
    </w:p>
    <w:p w:rsidR="00122DF3" w:rsidRPr="00017A63" w:rsidRDefault="00122DF3" w:rsidP="00FA0675">
      <w:pPr>
        <w:rPr>
          <w:rFonts w:cs="Calibri"/>
          <w:b/>
          <w:sz w:val="24"/>
          <w:szCs w:val="24"/>
        </w:rPr>
      </w:pPr>
      <w:r w:rsidRPr="00017A63">
        <w:rPr>
          <w:rFonts w:cs="Calibri"/>
          <w:b/>
          <w:sz w:val="24"/>
          <w:szCs w:val="24"/>
        </w:rPr>
        <w:t>Objectifs pédagogiques :</w:t>
      </w:r>
    </w:p>
    <w:p w:rsidR="00122DF3" w:rsidRPr="00017A63" w:rsidRDefault="00122DF3" w:rsidP="00755DAC">
      <w:pPr>
        <w:spacing w:after="0"/>
        <w:jc w:val="both"/>
        <w:rPr>
          <w:rFonts w:cs="Calibri"/>
          <w:szCs w:val="20"/>
        </w:rPr>
      </w:pPr>
      <w:r w:rsidRPr="00017A63">
        <w:rPr>
          <w:rFonts w:cs="Calibri"/>
          <w:szCs w:val="20"/>
        </w:rPr>
        <w:t>Acquérir les savoirs et méthodes pour reconnaître et contrôler les plantes et matières végétales d’intérêt pharmaceutique</w:t>
      </w:r>
      <w:r>
        <w:rPr>
          <w:rFonts w:cs="Calibri"/>
          <w:szCs w:val="20"/>
        </w:rPr>
        <w:t xml:space="preserve"> ainsi que leurs principaux constituants</w:t>
      </w:r>
      <w:r w:rsidRPr="00017A63">
        <w:rPr>
          <w:rFonts w:cs="Calibri"/>
          <w:szCs w:val="20"/>
        </w:rPr>
        <w:t>.</w:t>
      </w:r>
    </w:p>
    <w:p w:rsidR="00122DF3" w:rsidRDefault="00122DF3" w:rsidP="00755DAC">
      <w:pPr>
        <w:spacing w:after="0"/>
        <w:jc w:val="both"/>
        <w:rPr>
          <w:rFonts w:cs="Calibri"/>
          <w:szCs w:val="24"/>
        </w:rPr>
      </w:pPr>
    </w:p>
    <w:p w:rsidR="00122DF3" w:rsidRPr="000E24D3" w:rsidRDefault="00122DF3" w:rsidP="00755DAC">
      <w:pPr>
        <w:spacing w:after="0"/>
        <w:jc w:val="both"/>
        <w:rPr>
          <w:rFonts w:cs="Calibri"/>
          <w:szCs w:val="24"/>
        </w:rPr>
      </w:pPr>
      <w:r>
        <w:rPr>
          <w:rFonts w:cs="Calibri"/>
          <w:szCs w:val="24"/>
        </w:rPr>
        <w:t>Le module « Plantes et molécules d’intérêt en pharmacie » aborde l</w:t>
      </w:r>
      <w:r w:rsidRPr="000E24D3">
        <w:rPr>
          <w:rFonts w:cs="Calibri"/>
          <w:szCs w:val="24"/>
        </w:rPr>
        <w:t>a botani</w:t>
      </w:r>
      <w:r>
        <w:rPr>
          <w:rFonts w:cs="Calibri"/>
          <w:szCs w:val="24"/>
        </w:rPr>
        <w:t xml:space="preserve">que sous un angle </w:t>
      </w:r>
      <w:proofErr w:type="spellStart"/>
      <w:r>
        <w:rPr>
          <w:rFonts w:cs="Calibri"/>
          <w:szCs w:val="24"/>
        </w:rPr>
        <w:t>phytochimique</w:t>
      </w:r>
      <w:proofErr w:type="spellEnd"/>
      <w:r>
        <w:rPr>
          <w:rFonts w:cs="Calibri"/>
          <w:szCs w:val="24"/>
        </w:rPr>
        <w:t>, qui complétera la vision abordée en S4 (orientée « contrôle des plantes »). L’enseignement s’attachera à illustrer les principales catégories de métabolites secondaires d’origine végétale ayant un intérêt pharmaceutique (thérapeutique ou toxicité) tout en conservant l’aspect fondamental de reconnaissance des plantes fraîches. Une ébauche de la reconnaissance de drogues sèches permettra d’introduire la notion de phytothérapie. Les étudiants appliqueront les connaissances acquises tout au long de leur formation pour réaliser un projet d’identification d’une plante (ou d’une famille de plantes), qui sera restitué sous la forme d’un poster.</w:t>
      </w:r>
    </w:p>
    <w:p w:rsidR="00122DF3" w:rsidRPr="00017A63" w:rsidRDefault="00122DF3" w:rsidP="00755DAC">
      <w:pPr>
        <w:spacing w:after="0"/>
        <w:jc w:val="both"/>
        <w:rPr>
          <w:rFonts w:cs="Calibri"/>
          <w:b/>
          <w:sz w:val="28"/>
          <w:szCs w:val="24"/>
        </w:rPr>
      </w:pPr>
    </w:p>
    <w:p w:rsidR="00122DF3" w:rsidRPr="00017A63" w:rsidRDefault="00122DF3" w:rsidP="00FA0675">
      <w:pPr>
        <w:rPr>
          <w:rFonts w:cs="Calibri"/>
          <w:b/>
          <w:sz w:val="24"/>
          <w:szCs w:val="24"/>
        </w:rPr>
      </w:pPr>
      <w:r w:rsidRPr="00017A63">
        <w:rPr>
          <w:rFonts w:cs="Calibri"/>
          <w:b/>
          <w:sz w:val="24"/>
          <w:szCs w:val="24"/>
        </w:rPr>
        <w:t>Descriptifs des enseignements, des intervenants et découpage horaire</w:t>
      </w:r>
    </w:p>
    <w:p w:rsidR="00122DF3" w:rsidRDefault="00122DF3" w:rsidP="00755DAC">
      <w:pPr>
        <w:spacing w:after="0"/>
        <w:jc w:val="both"/>
        <w:rPr>
          <w:rFonts w:cs="Calibri"/>
          <w:szCs w:val="20"/>
          <w:u w:val="single"/>
        </w:rPr>
      </w:pPr>
      <w:r>
        <w:rPr>
          <w:rFonts w:cs="Calibri"/>
          <w:i/>
          <w:szCs w:val="20"/>
        </w:rPr>
        <w:t xml:space="preserve">- Plantes et molécules d’intérêt en pharmacie (2h ED) : </w:t>
      </w:r>
      <w:r w:rsidRPr="002E1E68">
        <w:rPr>
          <w:rFonts w:cs="Calibri"/>
          <w:szCs w:val="20"/>
          <w:u w:val="single"/>
        </w:rPr>
        <w:t xml:space="preserve">YF </w:t>
      </w:r>
      <w:proofErr w:type="spellStart"/>
      <w:r w:rsidRPr="002E1E68">
        <w:rPr>
          <w:rFonts w:cs="Calibri"/>
          <w:szCs w:val="20"/>
          <w:u w:val="single"/>
        </w:rPr>
        <w:t>Pouchus</w:t>
      </w:r>
      <w:proofErr w:type="spellEnd"/>
      <w:r>
        <w:rPr>
          <w:rFonts w:cs="Calibri"/>
          <w:szCs w:val="20"/>
          <w:u w:val="single"/>
        </w:rPr>
        <w:t xml:space="preserve">, </w:t>
      </w:r>
      <w:r w:rsidRPr="00017A63">
        <w:rPr>
          <w:rFonts w:cs="Calibri"/>
          <w:szCs w:val="20"/>
          <w:u w:val="single"/>
        </w:rPr>
        <w:t xml:space="preserve">O </w:t>
      </w:r>
      <w:proofErr w:type="spellStart"/>
      <w:r w:rsidRPr="00017A63">
        <w:rPr>
          <w:rFonts w:cs="Calibri"/>
          <w:szCs w:val="20"/>
          <w:u w:val="single"/>
        </w:rPr>
        <w:t>Grovel</w:t>
      </w:r>
      <w:proofErr w:type="spellEnd"/>
      <w:r w:rsidRPr="00017A63">
        <w:rPr>
          <w:rFonts w:cs="Calibri"/>
          <w:szCs w:val="20"/>
          <w:u w:val="single"/>
        </w:rPr>
        <w:t xml:space="preserve">, K Petit, N Ruiz, C </w:t>
      </w:r>
      <w:proofErr w:type="spellStart"/>
      <w:r w:rsidRPr="00017A63">
        <w:rPr>
          <w:rFonts w:cs="Calibri"/>
          <w:szCs w:val="20"/>
          <w:u w:val="single"/>
        </w:rPr>
        <w:t>Sallenave</w:t>
      </w:r>
      <w:proofErr w:type="spellEnd"/>
      <w:r w:rsidRPr="00017A63">
        <w:rPr>
          <w:rFonts w:cs="Calibri"/>
          <w:szCs w:val="20"/>
          <w:u w:val="single"/>
        </w:rPr>
        <w:t>-</w:t>
      </w:r>
      <w:proofErr w:type="spellStart"/>
      <w:r w:rsidRPr="00017A63">
        <w:rPr>
          <w:rFonts w:cs="Calibri"/>
          <w:szCs w:val="20"/>
          <w:u w:val="single"/>
        </w:rPr>
        <w:t>Namont</w:t>
      </w:r>
      <w:proofErr w:type="spellEnd"/>
    </w:p>
    <w:p w:rsidR="00122DF3" w:rsidRDefault="00122DF3" w:rsidP="00755DAC">
      <w:pPr>
        <w:spacing w:after="0"/>
        <w:jc w:val="both"/>
        <w:rPr>
          <w:rFonts w:cs="Calibri"/>
          <w:i/>
          <w:szCs w:val="20"/>
        </w:rPr>
      </w:pPr>
    </w:p>
    <w:p w:rsidR="00122DF3" w:rsidRPr="00006837" w:rsidRDefault="00122DF3" w:rsidP="00755DAC">
      <w:pPr>
        <w:spacing w:after="0"/>
        <w:jc w:val="both"/>
        <w:rPr>
          <w:rFonts w:cs="Calibri"/>
          <w:szCs w:val="20"/>
          <w:u w:val="single"/>
        </w:rPr>
      </w:pPr>
      <w:r w:rsidRPr="00017A63">
        <w:rPr>
          <w:rFonts w:cs="Calibri"/>
          <w:i/>
          <w:szCs w:val="20"/>
        </w:rPr>
        <w:t xml:space="preserve">- </w:t>
      </w:r>
      <w:r>
        <w:rPr>
          <w:rFonts w:cs="Calibri"/>
          <w:i/>
          <w:szCs w:val="20"/>
        </w:rPr>
        <w:t>Essais physico-chimiques fondamentaux (6h TP) :</w:t>
      </w:r>
      <w:r w:rsidRPr="00006837">
        <w:rPr>
          <w:rFonts w:cs="Calibri"/>
          <w:szCs w:val="20"/>
          <w:u w:val="single"/>
        </w:rPr>
        <w:t xml:space="preserve"> O </w:t>
      </w:r>
      <w:proofErr w:type="spellStart"/>
      <w:r w:rsidRPr="00006837">
        <w:rPr>
          <w:rFonts w:cs="Calibri"/>
          <w:szCs w:val="20"/>
          <w:u w:val="single"/>
        </w:rPr>
        <w:t>Grovel</w:t>
      </w:r>
      <w:proofErr w:type="spellEnd"/>
      <w:r w:rsidRPr="00006837">
        <w:rPr>
          <w:rFonts w:cs="Calibri"/>
          <w:szCs w:val="20"/>
          <w:u w:val="single"/>
        </w:rPr>
        <w:t>, K Petit</w:t>
      </w:r>
    </w:p>
    <w:p w:rsidR="00122DF3" w:rsidRPr="00017A63" w:rsidRDefault="00122DF3" w:rsidP="00755DAC">
      <w:pPr>
        <w:numPr>
          <w:ilvl w:val="0"/>
          <w:numId w:val="2"/>
        </w:numPr>
        <w:spacing w:after="0"/>
        <w:jc w:val="both"/>
        <w:rPr>
          <w:rFonts w:cs="Calibri"/>
          <w:szCs w:val="20"/>
        </w:rPr>
      </w:pPr>
      <w:r>
        <w:rPr>
          <w:rFonts w:cs="Calibri"/>
          <w:szCs w:val="20"/>
        </w:rPr>
        <w:t>Une séance d’apprentissage des principaux essais</w:t>
      </w:r>
    </w:p>
    <w:p w:rsidR="00122DF3" w:rsidRPr="00017A63" w:rsidRDefault="00122DF3" w:rsidP="00755DAC">
      <w:pPr>
        <w:numPr>
          <w:ilvl w:val="0"/>
          <w:numId w:val="2"/>
        </w:numPr>
        <w:spacing w:after="0"/>
        <w:jc w:val="both"/>
        <w:rPr>
          <w:rFonts w:cs="Calibri"/>
          <w:szCs w:val="20"/>
        </w:rPr>
      </w:pPr>
      <w:r>
        <w:rPr>
          <w:rFonts w:cs="Calibri"/>
          <w:szCs w:val="20"/>
        </w:rPr>
        <w:t>Une séance d’application à une plante (ou une famille de plantes) dans le cadre du projet</w:t>
      </w:r>
    </w:p>
    <w:p w:rsidR="00122DF3" w:rsidRPr="00017A63" w:rsidRDefault="00122DF3" w:rsidP="00755DAC">
      <w:pPr>
        <w:spacing w:after="0"/>
        <w:ind w:left="360" w:hanging="360"/>
        <w:jc w:val="both"/>
        <w:rPr>
          <w:rFonts w:cs="Calibri"/>
          <w:i/>
          <w:szCs w:val="20"/>
        </w:rPr>
      </w:pPr>
    </w:p>
    <w:p w:rsidR="00122DF3" w:rsidRPr="00017A63" w:rsidRDefault="00122DF3" w:rsidP="00755DAC">
      <w:pPr>
        <w:spacing w:after="0"/>
        <w:jc w:val="both"/>
        <w:rPr>
          <w:rFonts w:cs="Calibri"/>
          <w:szCs w:val="20"/>
        </w:rPr>
      </w:pPr>
      <w:r w:rsidRPr="00017A63">
        <w:rPr>
          <w:rFonts w:cs="Calibri"/>
          <w:i/>
          <w:szCs w:val="20"/>
        </w:rPr>
        <w:t>- Reconnaissances végétales pharmaceutiques (</w:t>
      </w:r>
      <w:r>
        <w:rPr>
          <w:rFonts w:cs="Calibri"/>
          <w:i/>
          <w:szCs w:val="20"/>
        </w:rPr>
        <w:t>10</w:t>
      </w:r>
      <w:r w:rsidRPr="00017A63">
        <w:rPr>
          <w:rFonts w:cs="Calibri"/>
          <w:i/>
          <w:szCs w:val="20"/>
        </w:rPr>
        <w:t>h TP) :</w:t>
      </w:r>
      <w:r w:rsidRPr="00017A63">
        <w:rPr>
          <w:rFonts w:cs="Calibri"/>
          <w:szCs w:val="20"/>
          <w:u w:val="single"/>
        </w:rPr>
        <w:t xml:space="preserve"> O </w:t>
      </w:r>
      <w:proofErr w:type="spellStart"/>
      <w:r w:rsidRPr="00017A63">
        <w:rPr>
          <w:rFonts w:cs="Calibri"/>
          <w:szCs w:val="20"/>
          <w:u w:val="single"/>
        </w:rPr>
        <w:t>Grovel</w:t>
      </w:r>
      <w:proofErr w:type="spellEnd"/>
      <w:r w:rsidRPr="00017A63">
        <w:rPr>
          <w:rFonts w:cs="Calibri"/>
          <w:szCs w:val="20"/>
          <w:u w:val="single"/>
        </w:rPr>
        <w:t xml:space="preserve">, K Petit, N Ruiz, C </w:t>
      </w:r>
      <w:proofErr w:type="spellStart"/>
      <w:r w:rsidRPr="00017A63">
        <w:rPr>
          <w:rFonts w:cs="Calibri"/>
          <w:szCs w:val="20"/>
          <w:u w:val="single"/>
        </w:rPr>
        <w:t>Sallenave</w:t>
      </w:r>
      <w:proofErr w:type="spellEnd"/>
      <w:r w:rsidRPr="00017A63">
        <w:rPr>
          <w:rFonts w:cs="Calibri"/>
          <w:szCs w:val="20"/>
          <w:u w:val="single"/>
        </w:rPr>
        <w:t>-</w:t>
      </w:r>
      <w:proofErr w:type="spellStart"/>
      <w:r w:rsidRPr="00017A63">
        <w:rPr>
          <w:rFonts w:cs="Calibri"/>
          <w:szCs w:val="20"/>
          <w:u w:val="single"/>
        </w:rPr>
        <w:t>Namont</w:t>
      </w:r>
      <w:proofErr w:type="spellEnd"/>
    </w:p>
    <w:p w:rsidR="00122DF3" w:rsidRPr="00017A63" w:rsidRDefault="0081219B" w:rsidP="00755DAC">
      <w:pPr>
        <w:numPr>
          <w:ilvl w:val="0"/>
          <w:numId w:val="2"/>
        </w:numPr>
        <w:spacing w:after="0"/>
        <w:jc w:val="both"/>
        <w:rPr>
          <w:rFonts w:cs="Calibri"/>
          <w:szCs w:val="20"/>
        </w:rPr>
      </w:pPr>
      <w:r w:rsidRPr="0081219B">
        <w:rPr>
          <w:noProof/>
          <w:lang w:eastAsia="fr-FR"/>
        </w:rPr>
        <w:pict>
          <v:shapetype id="_x0000_t202" coordsize="21600,21600" o:spt="202" path="m,l,21600r21600,l21600,xe">
            <v:stroke joinstyle="miter"/>
            <v:path gradientshapeok="t" o:connecttype="rect"/>
          </v:shapetype>
          <v:shape id="_x0000_s1026" type="#_x0000_t202" style="position:absolute;left:0;text-align:left;margin-left:379.55pt;margin-top:5.45pt;width:80.85pt;height:20.25pt;z-index:251658240;v-text-anchor:middle" filled="f" stroked="f">
            <v:textbox style="mso-next-textbox:#_x0000_s1026">
              <w:txbxContent>
                <w:p w:rsidR="00122DF3" w:rsidRDefault="00122DF3">
                  <w:r>
                    <w:t>2 séances x 2h</w:t>
                  </w:r>
                </w:p>
              </w:txbxContent>
            </v:textbox>
          </v:shape>
        </w:pict>
      </w:r>
      <w:r w:rsidRPr="0081219B">
        <w:rPr>
          <w:noProof/>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370.9pt;margin-top:2.45pt;width:7.15pt;height:26.25pt;z-index:251657216"/>
        </w:pict>
      </w:r>
      <w:r w:rsidR="00122DF3" w:rsidRPr="00017A63">
        <w:rPr>
          <w:rFonts w:cs="Calibri"/>
          <w:szCs w:val="20"/>
        </w:rPr>
        <w:t xml:space="preserve">Les plantes fraîches régionales </w:t>
      </w:r>
      <w:r w:rsidR="00122DF3">
        <w:rPr>
          <w:rFonts w:cs="Calibri"/>
          <w:szCs w:val="20"/>
        </w:rPr>
        <w:t>toxiques</w:t>
      </w:r>
      <w:r w:rsidR="00122DF3" w:rsidRPr="00017A63">
        <w:rPr>
          <w:rFonts w:cs="Calibri"/>
          <w:szCs w:val="20"/>
        </w:rPr>
        <w:t xml:space="preserve"> </w:t>
      </w:r>
      <w:r w:rsidR="00122DF3">
        <w:rPr>
          <w:rFonts w:cs="Calibri"/>
          <w:szCs w:val="20"/>
        </w:rPr>
        <w:t>ou d’intérêt pharmaceutique</w:t>
      </w:r>
    </w:p>
    <w:p w:rsidR="00122DF3" w:rsidRDefault="00122DF3" w:rsidP="00F1578C">
      <w:pPr>
        <w:numPr>
          <w:ilvl w:val="0"/>
          <w:numId w:val="2"/>
        </w:numPr>
        <w:spacing w:after="0"/>
        <w:jc w:val="both"/>
        <w:rPr>
          <w:rFonts w:cs="Calibri"/>
          <w:szCs w:val="20"/>
        </w:rPr>
      </w:pPr>
      <w:r w:rsidRPr="00017A63">
        <w:rPr>
          <w:rFonts w:cs="Calibri"/>
          <w:szCs w:val="20"/>
        </w:rPr>
        <w:t xml:space="preserve">Les drogues et matières végétales sèches d’usage pharmaceutique </w:t>
      </w:r>
    </w:p>
    <w:p w:rsidR="00122DF3" w:rsidRPr="00F1578C" w:rsidRDefault="00122DF3" w:rsidP="00F1578C">
      <w:pPr>
        <w:numPr>
          <w:ilvl w:val="0"/>
          <w:numId w:val="2"/>
        </w:numPr>
        <w:spacing w:after="0"/>
        <w:jc w:val="both"/>
        <w:rPr>
          <w:rFonts w:cs="Calibri"/>
          <w:szCs w:val="20"/>
        </w:rPr>
      </w:pPr>
      <w:r>
        <w:rPr>
          <w:rFonts w:cs="Calibri"/>
          <w:szCs w:val="20"/>
        </w:rPr>
        <w:t>Herborisation (2 séances x 3h)</w:t>
      </w:r>
    </w:p>
    <w:p w:rsidR="00122DF3" w:rsidRPr="00017A63" w:rsidRDefault="00122DF3" w:rsidP="00755DAC">
      <w:pPr>
        <w:spacing w:after="0"/>
        <w:ind w:left="720"/>
        <w:jc w:val="both"/>
        <w:rPr>
          <w:rFonts w:cs="Calibri"/>
          <w:szCs w:val="20"/>
        </w:rPr>
      </w:pPr>
    </w:p>
    <w:p w:rsidR="00122DF3" w:rsidRPr="00017A63" w:rsidRDefault="00122DF3" w:rsidP="00755DAC">
      <w:pPr>
        <w:spacing w:after="0"/>
        <w:jc w:val="both"/>
        <w:rPr>
          <w:rFonts w:cs="Calibri"/>
          <w:szCs w:val="20"/>
        </w:rPr>
      </w:pPr>
      <w:r w:rsidRPr="00017A63">
        <w:rPr>
          <w:rFonts w:cs="Calibri"/>
          <w:i/>
          <w:szCs w:val="20"/>
        </w:rPr>
        <w:t>- Exercice d’application (</w:t>
      </w:r>
      <w:r>
        <w:rPr>
          <w:rFonts w:cs="Calibri"/>
          <w:i/>
          <w:szCs w:val="20"/>
        </w:rPr>
        <w:t>15</w:t>
      </w:r>
      <w:r w:rsidRPr="00017A63">
        <w:rPr>
          <w:rFonts w:cs="Calibri"/>
          <w:i/>
          <w:szCs w:val="20"/>
        </w:rPr>
        <w:t xml:space="preserve">h TPE) : </w:t>
      </w:r>
      <w:r w:rsidRPr="00017A63">
        <w:rPr>
          <w:rFonts w:cs="Calibri"/>
          <w:szCs w:val="20"/>
          <w:u w:val="single"/>
        </w:rPr>
        <w:t xml:space="preserve">O </w:t>
      </w:r>
      <w:proofErr w:type="spellStart"/>
      <w:r w:rsidRPr="00017A63">
        <w:rPr>
          <w:rFonts w:cs="Calibri"/>
          <w:szCs w:val="20"/>
          <w:u w:val="single"/>
        </w:rPr>
        <w:t>Grovel</w:t>
      </w:r>
      <w:proofErr w:type="spellEnd"/>
      <w:r w:rsidRPr="00017A63">
        <w:rPr>
          <w:rFonts w:cs="Calibri"/>
          <w:szCs w:val="20"/>
          <w:u w:val="single"/>
        </w:rPr>
        <w:t xml:space="preserve">, K Petit, YF </w:t>
      </w:r>
      <w:proofErr w:type="spellStart"/>
      <w:r w:rsidRPr="00017A63">
        <w:rPr>
          <w:rFonts w:cs="Calibri"/>
          <w:szCs w:val="20"/>
          <w:u w:val="single"/>
        </w:rPr>
        <w:t>Pouchus</w:t>
      </w:r>
      <w:proofErr w:type="spellEnd"/>
      <w:r w:rsidRPr="00017A63">
        <w:rPr>
          <w:rFonts w:cs="Calibri"/>
          <w:szCs w:val="20"/>
          <w:u w:val="single"/>
        </w:rPr>
        <w:t xml:space="preserve">, N Ruiz, C </w:t>
      </w:r>
      <w:proofErr w:type="spellStart"/>
      <w:r w:rsidRPr="00017A63">
        <w:rPr>
          <w:rFonts w:cs="Calibri"/>
          <w:szCs w:val="20"/>
          <w:u w:val="single"/>
        </w:rPr>
        <w:t>Sallenave</w:t>
      </w:r>
      <w:proofErr w:type="spellEnd"/>
      <w:r w:rsidRPr="00017A63">
        <w:rPr>
          <w:rFonts w:cs="Calibri"/>
          <w:szCs w:val="20"/>
          <w:u w:val="single"/>
        </w:rPr>
        <w:t>-</w:t>
      </w:r>
      <w:proofErr w:type="spellStart"/>
      <w:r w:rsidRPr="00017A63">
        <w:rPr>
          <w:rFonts w:cs="Calibri"/>
          <w:szCs w:val="20"/>
          <w:u w:val="single"/>
        </w:rPr>
        <w:t>Namont</w:t>
      </w:r>
      <w:proofErr w:type="spellEnd"/>
      <w:r w:rsidRPr="00017A63">
        <w:rPr>
          <w:rFonts w:cs="Calibri"/>
          <w:szCs w:val="20"/>
          <w:u w:val="single"/>
        </w:rPr>
        <w:t xml:space="preserve"> </w:t>
      </w:r>
    </w:p>
    <w:p w:rsidR="00122DF3" w:rsidRPr="00017A63" w:rsidRDefault="00122DF3" w:rsidP="00755DAC">
      <w:pPr>
        <w:numPr>
          <w:ilvl w:val="0"/>
          <w:numId w:val="2"/>
        </w:numPr>
        <w:spacing w:after="0"/>
        <w:jc w:val="both"/>
        <w:rPr>
          <w:rFonts w:cs="Calibri"/>
          <w:szCs w:val="20"/>
        </w:rPr>
      </w:pPr>
      <w:r w:rsidRPr="00017A63">
        <w:rPr>
          <w:rFonts w:cs="Calibri"/>
          <w:szCs w:val="20"/>
        </w:rPr>
        <w:t>Etude de cas par petits groupes</w:t>
      </w:r>
      <w:r>
        <w:rPr>
          <w:rFonts w:cs="Calibri"/>
          <w:szCs w:val="20"/>
        </w:rPr>
        <w:t>, restitution sous la forme d’un poster</w:t>
      </w:r>
    </w:p>
    <w:p w:rsidR="00122DF3" w:rsidRPr="00017A63" w:rsidRDefault="00122DF3" w:rsidP="00755DAC">
      <w:pPr>
        <w:numPr>
          <w:ilvl w:val="0"/>
          <w:numId w:val="2"/>
        </w:numPr>
        <w:spacing w:after="0"/>
        <w:jc w:val="both"/>
        <w:rPr>
          <w:rFonts w:cs="Calibri"/>
          <w:szCs w:val="20"/>
        </w:rPr>
      </w:pPr>
      <w:r w:rsidRPr="00017A63">
        <w:rPr>
          <w:rFonts w:cs="Calibri"/>
          <w:szCs w:val="20"/>
        </w:rPr>
        <w:t xml:space="preserve">Réalisation d’un herbier </w:t>
      </w:r>
      <w:r>
        <w:rPr>
          <w:rFonts w:cs="Calibri"/>
          <w:szCs w:val="20"/>
        </w:rPr>
        <w:t>individuel</w:t>
      </w:r>
    </w:p>
    <w:p w:rsidR="00122DF3" w:rsidRPr="00017A63" w:rsidRDefault="00122DF3" w:rsidP="00017A63">
      <w:pPr>
        <w:spacing w:after="0"/>
        <w:ind w:left="720"/>
        <w:jc w:val="both"/>
        <w:rPr>
          <w:rFonts w:cs="Calibri"/>
          <w:szCs w:val="20"/>
        </w:rPr>
      </w:pPr>
    </w:p>
    <w:p w:rsidR="00122DF3" w:rsidRPr="00017A63" w:rsidRDefault="00122DF3" w:rsidP="00755DAC">
      <w:pPr>
        <w:spacing w:after="0"/>
        <w:jc w:val="both"/>
        <w:rPr>
          <w:rFonts w:cs="Calibri"/>
          <w:szCs w:val="20"/>
        </w:rPr>
      </w:pPr>
      <w:r w:rsidRPr="00017A63">
        <w:rPr>
          <w:rFonts w:cs="Calibri"/>
          <w:b/>
          <w:szCs w:val="20"/>
        </w:rPr>
        <w:t>Organisation</w:t>
      </w:r>
      <w:r w:rsidRPr="00017A63">
        <w:rPr>
          <w:rFonts w:cs="Calibri"/>
          <w:szCs w:val="20"/>
        </w:rPr>
        <w:t xml:space="preserve"> : Le module </w:t>
      </w:r>
      <w:r>
        <w:rPr>
          <w:rFonts w:cs="Calibri"/>
          <w:szCs w:val="24"/>
        </w:rPr>
        <w:t xml:space="preserve">« Plantes et molécules d’intérêt en pharmacie » </w:t>
      </w:r>
      <w:r w:rsidRPr="00017A63">
        <w:rPr>
          <w:rFonts w:cs="Calibri"/>
          <w:szCs w:val="20"/>
        </w:rPr>
        <w:t>est essentiellement pratique et est donc majoritairement constitué de travaux pratiques et de sorties sur le terrain. Il utilise également les possibilités d’autoformation et d’autoévaluation permanentes offertes par les plateformes d‘enseignement à distance (MADOC).</w:t>
      </w:r>
    </w:p>
    <w:p w:rsidR="00122DF3" w:rsidRPr="00017A63" w:rsidRDefault="00122DF3" w:rsidP="00755DAC">
      <w:pPr>
        <w:spacing w:after="0"/>
        <w:rPr>
          <w:rFonts w:cs="Calibri"/>
          <w:b/>
          <w:sz w:val="28"/>
          <w:szCs w:val="24"/>
        </w:rPr>
      </w:pPr>
    </w:p>
    <w:p w:rsidR="00122DF3" w:rsidRPr="00017A63" w:rsidRDefault="00122DF3" w:rsidP="00755DAC">
      <w:pPr>
        <w:spacing w:after="0"/>
        <w:rPr>
          <w:rFonts w:cs="Calibri"/>
          <w:b/>
          <w:sz w:val="28"/>
          <w:szCs w:val="24"/>
        </w:rPr>
      </w:pPr>
      <w:r w:rsidRPr="00017A63">
        <w:rPr>
          <w:rFonts w:cs="Calibri"/>
          <w:b/>
          <w:sz w:val="28"/>
          <w:szCs w:val="24"/>
        </w:rPr>
        <w:t>Modalités d’évaluation :</w:t>
      </w:r>
    </w:p>
    <w:p w:rsidR="00122DF3" w:rsidRPr="00017A63" w:rsidRDefault="00122DF3" w:rsidP="00755DAC">
      <w:pPr>
        <w:spacing w:after="0"/>
        <w:jc w:val="both"/>
        <w:rPr>
          <w:rFonts w:cs="Calibri"/>
          <w:szCs w:val="20"/>
        </w:rPr>
      </w:pPr>
      <w:r w:rsidRPr="00017A63">
        <w:rPr>
          <w:rFonts w:cs="Calibri"/>
          <w:szCs w:val="20"/>
        </w:rPr>
        <w:t xml:space="preserve">L’évaluation globale du module </w:t>
      </w:r>
      <w:r>
        <w:rPr>
          <w:rFonts w:cs="Calibri"/>
          <w:szCs w:val="24"/>
        </w:rPr>
        <w:t>« Plantes et molécules d’intérêt en pharmacie »</w:t>
      </w:r>
      <w:r w:rsidRPr="00017A63">
        <w:rPr>
          <w:rFonts w:cs="Calibri"/>
          <w:szCs w:val="20"/>
        </w:rPr>
        <w:t xml:space="preserve"> est basée sur un ensemble d’indicateurs :</w:t>
      </w:r>
    </w:p>
    <w:p w:rsidR="00122DF3" w:rsidRPr="00017A63" w:rsidRDefault="00122DF3" w:rsidP="00755DAC">
      <w:pPr>
        <w:numPr>
          <w:ilvl w:val="0"/>
          <w:numId w:val="1"/>
        </w:numPr>
        <w:spacing w:after="0"/>
        <w:jc w:val="both"/>
        <w:rPr>
          <w:rFonts w:cs="Calibri"/>
          <w:szCs w:val="20"/>
        </w:rPr>
      </w:pPr>
      <w:r w:rsidRPr="00017A63">
        <w:rPr>
          <w:rFonts w:cs="Calibri"/>
          <w:szCs w:val="20"/>
        </w:rPr>
        <w:t>Contrôle continu et autoévaluation sur MADOC</w:t>
      </w:r>
    </w:p>
    <w:p w:rsidR="00122DF3" w:rsidRPr="00017A63" w:rsidRDefault="00122DF3" w:rsidP="00755DAC">
      <w:pPr>
        <w:numPr>
          <w:ilvl w:val="0"/>
          <w:numId w:val="1"/>
        </w:numPr>
        <w:spacing w:after="0"/>
        <w:jc w:val="both"/>
        <w:rPr>
          <w:rFonts w:cs="Calibri"/>
          <w:sz w:val="18"/>
          <w:szCs w:val="16"/>
        </w:rPr>
      </w:pPr>
      <w:r w:rsidRPr="00017A63">
        <w:rPr>
          <w:rFonts w:cs="Calibri"/>
          <w:szCs w:val="20"/>
        </w:rPr>
        <w:t xml:space="preserve">Epreuve de reconnaissance en salle et/ou sur le terrain </w:t>
      </w:r>
    </w:p>
    <w:p w:rsidR="00122DF3" w:rsidRPr="00017A63" w:rsidRDefault="00122DF3" w:rsidP="00755DAC">
      <w:pPr>
        <w:spacing w:after="0"/>
        <w:rPr>
          <w:rFonts w:cs="Calibri"/>
          <w:b/>
          <w:sz w:val="24"/>
        </w:rPr>
      </w:pPr>
    </w:p>
    <w:p w:rsidR="00122DF3" w:rsidRDefault="00122DF3" w:rsidP="00755DAC">
      <w:pPr>
        <w:spacing w:after="0"/>
        <w:rPr>
          <w:rFonts w:cs="Calibri"/>
          <w:b/>
          <w:sz w:val="28"/>
          <w:szCs w:val="24"/>
        </w:rPr>
      </w:pPr>
      <w:r w:rsidRPr="00017A63">
        <w:rPr>
          <w:rFonts w:cs="Calibri"/>
          <w:b/>
          <w:sz w:val="28"/>
          <w:szCs w:val="24"/>
        </w:rPr>
        <w:t xml:space="preserve">Pré-requis : </w:t>
      </w:r>
    </w:p>
    <w:p w:rsidR="00122DF3" w:rsidRPr="001A081A" w:rsidRDefault="00122DF3" w:rsidP="001A081A">
      <w:pPr>
        <w:numPr>
          <w:ilvl w:val="0"/>
          <w:numId w:val="1"/>
        </w:numPr>
        <w:spacing w:after="0"/>
        <w:jc w:val="both"/>
        <w:rPr>
          <w:rFonts w:cs="Calibri"/>
          <w:szCs w:val="20"/>
        </w:rPr>
      </w:pPr>
      <w:r w:rsidRPr="001A081A">
        <w:rPr>
          <w:rFonts w:cs="Calibri"/>
          <w:szCs w:val="20"/>
        </w:rPr>
        <w:t xml:space="preserve">PACES – UE7 – </w:t>
      </w:r>
      <w:proofErr w:type="spellStart"/>
      <w:r>
        <w:rPr>
          <w:rFonts w:cs="Calibri"/>
          <w:szCs w:val="20"/>
        </w:rPr>
        <w:t>é</w:t>
      </w:r>
      <w:r w:rsidRPr="001A081A">
        <w:rPr>
          <w:rFonts w:cs="Calibri"/>
          <w:szCs w:val="20"/>
        </w:rPr>
        <w:t>l</w:t>
      </w:r>
      <w:proofErr w:type="spellEnd"/>
      <w:r w:rsidRPr="001A081A">
        <w:rPr>
          <w:rFonts w:cs="Calibri"/>
          <w:szCs w:val="20"/>
        </w:rPr>
        <w:t xml:space="preserve"> 2 : l’homme et son environnement</w:t>
      </w:r>
    </w:p>
    <w:p w:rsidR="00122DF3" w:rsidRDefault="00122DF3" w:rsidP="001A081A">
      <w:pPr>
        <w:numPr>
          <w:ilvl w:val="0"/>
          <w:numId w:val="1"/>
        </w:numPr>
        <w:spacing w:after="0"/>
        <w:jc w:val="both"/>
        <w:rPr>
          <w:rFonts w:cs="Calibri"/>
          <w:szCs w:val="20"/>
        </w:rPr>
      </w:pPr>
      <w:r w:rsidRPr="001A081A">
        <w:rPr>
          <w:rFonts w:cs="Calibri"/>
          <w:szCs w:val="20"/>
        </w:rPr>
        <w:t>PACES – SP8 : les organismes euca</w:t>
      </w:r>
      <w:r>
        <w:rPr>
          <w:rFonts w:cs="Calibri"/>
          <w:szCs w:val="20"/>
        </w:rPr>
        <w:t>ryotes d’intérêt pharmaceutique</w:t>
      </w:r>
    </w:p>
    <w:p w:rsidR="00122DF3" w:rsidRDefault="00122DF3" w:rsidP="001A081A">
      <w:pPr>
        <w:numPr>
          <w:ilvl w:val="0"/>
          <w:numId w:val="1"/>
        </w:numPr>
        <w:spacing w:after="0"/>
        <w:jc w:val="both"/>
        <w:rPr>
          <w:rFonts w:cs="Calibri"/>
          <w:szCs w:val="20"/>
        </w:rPr>
      </w:pPr>
      <w:r>
        <w:rPr>
          <w:rFonts w:cs="Calibri"/>
          <w:szCs w:val="20"/>
        </w:rPr>
        <w:t>L2S3 – UE6 : obtention et propriétés des substances actives médicamenteuses</w:t>
      </w:r>
    </w:p>
    <w:p w:rsidR="00122DF3" w:rsidRDefault="00122DF3" w:rsidP="00F1578C">
      <w:pPr>
        <w:spacing w:after="0"/>
        <w:jc w:val="both"/>
        <w:rPr>
          <w:rFonts w:cs="Calibri"/>
          <w:szCs w:val="20"/>
        </w:rPr>
      </w:pPr>
    </w:p>
    <w:p w:rsidR="00122DF3" w:rsidRPr="001A081A" w:rsidRDefault="00122DF3" w:rsidP="00F1578C">
      <w:pPr>
        <w:spacing w:after="0"/>
        <w:jc w:val="both"/>
        <w:rPr>
          <w:rFonts w:cs="Calibri"/>
          <w:szCs w:val="20"/>
        </w:rPr>
      </w:pPr>
      <w:r>
        <w:rPr>
          <w:rFonts w:cs="Calibri"/>
          <w:szCs w:val="20"/>
        </w:rPr>
        <w:t>Avoir suivi le module « Reconnaissance et contrôle des plantes en pharmacie » en L2 – S4 (LS4-OP1) n’est pas nécessaire mais constituera un plus pour la sélection des 24 étudiants à ce module.</w:t>
      </w:r>
    </w:p>
    <w:p w:rsidR="00122DF3" w:rsidRPr="00017A63" w:rsidRDefault="00122DF3" w:rsidP="00755DAC">
      <w:pPr>
        <w:spacing w:after="0"/>
        <w:rPr>
          <w:rFonts w:cs="Calibri"/>
          <w:sz w:val="24"/>
          <w:szCs w:val="24"/>
        </w:rPr>
      </w:pPr>
    </w:p>
    <w:sectPr w:rsidR="00122DF3" w:rsidRPr="00017A63" w:rsidSect="00021E1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3FD" w:rsidRDefault="009C13FD" w:rsidP="00D71D4A">
      <w:pPr>
        <w:spacing w:after="0" w:line="240" w:lineRule="auto"/>
      </w:pPr>
      <w:r>
        <w:separator/>
      </w:r>
    </w:p>
  </w:endnote>
  <w:endnote w:type="continuationSeparator" w:id="0">
    <w:p w:rsidR="009C13FD" w:rsidRDefault="009C13FD" w:rsidP="00D71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3FD" w:rsidRDefault="009C13FD" w:rsidP="00D71D4A">
      <w:pPr>
        <w:spacing w:after="0" w:line="240" w:lineRule="auto"/>
      </w:pPr>
      <w:r>
        <w:separator/>
      </w:r>
    </w:p>
  </w:footnote>
  <w:footnote w:type="continuationSeparator" w:id="0">
    <w:p w:rsidR="009C13FD" w:rsidRDefault="009C13FD" w:rsidP="00D71D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4A" w:rsidRDefault="00D71D4A" w:rsidP="007916A2">
    <w:pPr>
      <w:pStyle w:val="En-tte"/>
      <w:tabs>
        <w:tab w:val="clear" w:pos="4536"/>
        <w:tab w:val="clear" w:pos="9072"/>
        <w:tab w:val="left" w:pos="7797"/>
      </w:tabs>
    </w:pPr>
    <w:r>
      <w:rPr>
        <w:noProof/>
        <w:lang w:eastAsia="fr-FR"/>
      </w:rPr>
      <w:pict>
        <v:shapetype id="_x0000_t202" coordsize="21600,21600" o:spt="202" path="m,l,21600r21600,l21600,xe">
          <v:stroke joinstyle="miter"/>
          <v:path gradientshapeok="t" o:connecttype="rect"/>
        </v:shapetype>
        <v:shape id="_x0000_s2050" type="#_x0000_t202" style="position:absolute;margin-left:432.35pt;margin-top:14.2pt;width:60.8pt;height:27.6pt;z-index:251661312" stroked="f">
          <v:textbox>
            <w:txbxContent>
              <w:p w:rsidR="00D71D4A" w:rsidRPr="004C5115" w:rsidRDefault="00D71D4A">
                <w:pPr>
                  <w:rPr>
                    <w:sz w:val="12"/>
                  </w:rPr>
                </w:pPr>
                <w:r w:rsidRPr="004C5115">
                  <w:rPr>
                    <w:sz w:val="16"/>
                  </w:rPr>
                  <w:t>Mise à jour le 17/01/2013</w:t>
                </w:r>
              </w:p>
            </w:txbxContent>
          </v:textbox>
        </v:shape>
      </w:pict>
    </w:r>
    <w:r>
      <w:rPr>
        <w:noProof/>
        <w:lang w:eastAsia="fr-FR"/>
      </w:rPr>
      <w:pict>
        <v:shape id="_x0000_s2049" type="#_x0000_t202" style="position:absolute;margin-left:303.15pt;margin-top:1.8pt;width:88.8pt;height:40pt;z-index:251660288" stroked="f">
          <v:textbox>
            <w:txbxContent>
              <w:p w:rsidR="00D71D4A" w:rsidRPr="007916A2" w:rsidRDefault="00D71D4A">
                <w:pPr>
                  <w:rPr>
                    <w:color w:val="17365D" w:themeColor="text2" w:themeShade="BF"/>
                    <w:sz w:val="18"/>
                  </w:rPr>
                </w:pPr>
                <w:r w:rsidRPr="007916A2">
                  <w:rPr>
                    <w:rFonts w:ascii="Arial" w:hAnsi="Arial" w:cs="Arial"/>
                    <w:noProof/>
                    <w:color w:val="17365D" w:themeColor="text2" w:themeShade="BF"/>
                    <w:sz w:val="16"/>
                    <w:lang w:eastAsia="fr-FR"/>
                  </w:rPr>
                  <w:t>UFR des Sciences Pharmaceutiques et Biologiques</w:t>
                </w:r>
              </w:p>
            </w:txbxContent>
          </v:textbox>
        </v:shape>
      </w:pict>
    </w:r>
    <w:r>
      <w:rPr>
        <w:noProof/>
        <w:lang w:eastAsia="fr-FR"/>
      </w:rPr>
      <w:drawing>
        <wp:inline distT="0" distB="0" distL="0" distR="0">
          <wp:extent cx="1017852" cy="552450"/>
          <wp:effectExtent l="19050" t="0" r="0" b="0"/>
          <wp:docPr id="1" name="Image 0" descr="logo un2011quadri_larg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2011quadri_larg100.png"/>
                  <pic:cNvPicPr/>
                </pic:nvPicPr>
                <pic:blipFill>
                  <a:blip r:embed="rId1"/>
                  <a:stretch>
                    <a:fillRect/>
                  </a:stretch>
                </pic:blipFill>
                <pic:spPr>
                  <a:xfrm>
                    <a:off x="0" y="0"/>
                    <a:ext cx="1018450" cy="552775"/>
                  </a:xfrm>
                  <a:prstGeom prst="rect">
                    <a:avLst/>
                  </a:prstGeom>
                </pic:spPr>
              </pic:pic>
            </a:graphicData>
          </a:graphic>
        </wp:inline>
      </w:drawing>
    </w:r>
    <w:r>
      <w:rPr>
        <w:noProof/>
        <w:lang w:eastAsia="fr-FR"/>
      </w:rPr>
      <w:t xml:space="preserve">  </w:t>
    </w:r>
    <w:r>
      <w:rPr>
        <w:noProof/>
        <w:lang w:eastAsia="fr-FR"/>
      </w:rPr>
      <w:tab/>
    </w:r>
    <w:r>
      <w:rPr>
        <w:noProof/>
        <w:lang w:eastAsia="fr-FR"/>
      </w:rPr>
      <w:drawing>
        <wp:inline distT="0" distB="0" distL="0" distR="0">
          <wp:extent cx="450056" cy="571500"/>
          <wp:effectExtent l="19050" t="0" r="7144" b="0"/>
          <wp:docPr id="5" name="Image 2" descr="Logo phar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arma-1.jpg"/>
                  <pic:cNvPicPr/>
                </pic:nvPicPr>
                <pic:blipFill>
                  <a:blip r:embed="rId2"/>
                  <a:stretch>
                    <a:fillRect/>
                  </a:stretch>
                </pic:blipFill>
                <pic:spPr>
                  <a:xfrm>
                    <a:off x="0" y="0"/>
                    <a:ext cx="450056" cy="571500"/>
                  </a:xfrm>
                  <a:prstGeom prst="rect">
                    <a:avLst/>
                  </a:prstGeom>
                </pic:spPr>
              </pic:pic>
            </a:graphicData>
          </a:graphic>
        </wp:inline>
      </w:drawing>
    </w:r>
  </w:p>
  <w:p w:rsidR="00D71D4A" w:rsidRDefault="00D71D4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851"/>
    <w:multiLevelType w:val="hybridMultilevel"/>
    <w:tmpl w:val="CDFE4500"/>
    <w:lvl w:ilvl="0" w:tplc="64AECF10">
      <w:start w:val="1"/>
      <w:numFmt w:val="bullet"/>
      <w:lvlText w:val=""/>
      <w:lvlJc w:val="left"/>
      <w:pPr>
        <w:tabs>
          <w:tab w:val="num" w:pos="720"/>
        </w:tabs>
        <w:ind w:left="720" w:hanging="360"/>
      </w:pPr>
      <w:rPr>
        <w:rFonts w:ascii="Symbol" w:hAnsi="Symbol" w:hint="default"/>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78F63D7A"/>
    <w:multiLevelType w:val="hybridMultilevel"/>
    <w:tmpl w:val="83B667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90D1E"/>
    <w:rsid w:val="00006837"/>
    <w:rsid w:val="0000796D"/>
    <w:rsid w:val="00017A63"/>
    <w:rsid w:val="00021E12"/>
    <w:rsid w:val="00026CA1"/>
    <w:rsid w:val="00026D53"/>
    <w:rsid w:val="00071970"/>
    <w:rsid w:val="000E24D3"/>
    <w:rsid w:val="000E4ED8"/>
    <w:rsid w:val="000F5B11"/>
    <w:rsid w:val="00122DF3"/>
    <w:rsid w:val="001A081A"/>
    <w:rsid w:val="001D0632"/>
    <w:rsid w:val="00223457"/>
    <w:rsid w:val="002A54B7"/>
    <w:rsid w:val="002E1E68"/>
    <w:rsid w:val="002F03C1"/>
    <w:rsid w:val="00317BB9"/>
    <w:rsid w:val="00346A63"/>
    <w:rsid w:val="003F0428"/>
    <w:rsid w:val="004528C2"/>
    <w:rsid w:val="00590D1E"/>
    <w:rsid w:val="00614791"/>
    <w:rsid w:val="00684B6F"/>
    <w:rsid w:val="00691FFE"/>
    <w:rsid w:val="00737166"/>
    <w:rsid w:val="00755DAC"/>
    <w:rsid w:val="00783982"/>
    <w:rsid w:val="0081219B"/>
    <w:rsid w:val="00856780"/>
    <w:rsid w:val="008D4736"/>
    <w:rsid w:val="008E6576"/>
    <w:rsid w:val="00975A55"/>
    <w:rsid w:val="009C0DB9"/>
    <w:rsid w:val="009C13FD"/>
    <w:rsid w:val="009D2F53"/>
    <w:rsid w:val="009F52B0"/>
    <w:rsid w:val="009F7062"/>
    <w:rsid w:val="00A670AD"/>
    <w:rsid w:val="00AA07E9"/>
    <w:rsid w:val="00B056E1"/>
    <w:rsid w:val="00D3194B"/>
    <w:rsid w:val="00D60AE6"/>
    <w:rsid w:val="00D71D4A"/>
    <w:rsid w:val="00DB538A"/>
    <w:rsid w:val="00EF7514"/>
    <w:rsid w:val="00F1578C"/>
    <w:rsid w:val="00FA0675"/>
    <w:rsid w:val="00FD02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12"/>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684B6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uiPriority w:val="99"/>
    <w:rsid w:val="00684B6F"/>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uiPriority w:val="99"/>
    <w:rsid w:val="00684B6F"/>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ghtShading-Accent21">
    <w:name w:val="Light Shading - Accent 21"/>
    <w:uiPriority w:val="99"/>
    <w:rsid w:val="00684B6F"/>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ghtShading-Accent31">
    <w:name w:val="Light Shading - Accent 31"/>
    <w:uiPriority w:val="99"/>
    <w:rsid w:val="00684B6F"/>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LightShading-Accent51">
    <w:name w:val="Light Shading - Accent 51"/>
    <w:uiPriority w:val="99"/>
    <w:rsid w:val="00684B6F"/>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Paragraphedeliste">
    <w:name w:val="List Paragraph"/>
    <w:basedOn w:val="Normal"/>
    <w:uiPriority w:val="99"/>
    <w:qFormat/>
    <w:rsid w:val="002E1E68"/>
    <w:pPr>
      <w:ind w:left="720"/>
      <w:contextualSpacing/>
    </w:pPr>
  </w:style>
  <w:style w:type="paragraph" w:styleId="Textedebulles">
    <w:name w:val="Balloon Text"/>
    <w:basedOn w:val="Normal"/>
    <w:link w:val="TextedebullesCar"/>
    <w:uiPriority w:val="99"/>
    <w:semiHidden/>
    <w:rsid w:val="002A54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A54B7"/>
    <w:rPr>
      <w:rFonts w:ascii="Tahoma" w:hAnsi="Tahoma" w:cs="Tahoma"/>
      <w:sz w:val="16"/>
      <w:szCs w:val="16"/>
      <w:lang w:eastAsia="en-US"/>
    </w:rPr>
  </w:style>
  <w:style w:type="paragraph" w:styleId="En-tte">
    <w:name w:val="header"/>
    <w:basedOn w:val="Normal"/>
    <w:link w:val="En-tteCar"/>
    <w:uiPriority w:val="99"/>
    <w:unhideWhenUsed/>
    <w:rsid w:val="00D71D4A"/>
    <w:pPr>
      <w:tabs>
        <w:tab w:val="center" w:pos="4536"/>
        <w:tab w:val="right" w:pos="9072"/>
      </w:tabs>
      <w:spacing w:after="0" w:line="240" w:lineRule="auto"/>
    </w:pPr>
  </w:style>
  <w:style w:type="character" w:customStyle="1" w:styleId="En-tteCar">
    <w:name w:val="En-tête Car"/>
    <w:basedOn w:val="Policepardfaut"/>
    <w:link w:val="En-tte"/>
    <w:uiPriority w:val="99"/>
    <w:rsid w:val="00D71D4A"/>
    <w:rPr>
      <w:lang w:eastAsia="en-US"/>
    </w:rPr>
  </w:style>
  <w:style w:type="paragraph" w:styleId="Pieddepage">
    <w:name w:val="footer"/>
    <w:basedOn w:val="Normal"/>
    <w:link w:val="PieddepageCar"/>
    <w:uiPriority w:val="99"/>
    <w:semiHidden/>
    <w:unhideWhenUsed/>
    <w:rsid w:val="00D71D4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71D4A"/>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2563</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Intitulé de l’EC : Module optionnel LS4OP1 –</dc:title>
  <dc:subject/>
  <dc:creator>Karina</dc:creator>
  <cp:keywords/>
  <dc:description/>
  <cp:lastModifiedBy> </cp:lastModifiedBy>
  <cp:revision>5</cp:revision>
  <cp:lastPrinted>2013-01-21T10:00:00Z</cp:lastPrinted>
  <dcterms:created xsi:type="dcterms:W3CDTF">2013-01-21T09:59:00Z</dcterms:created>
  <dcterms:modified xsi:type="dcterms:W3CDTF">2013-01-21T10:00:00Z</dcterms:modified>
</cp:coreProperties>
</file>