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585" w:rsidRPr="007C5585" w:rsidRDefault="007C5585" w:rsidP="007C5585">
      <w:pPr>
        <w:spacing w:after="120" w:line="240" w:lineRule="auto"/>
        <w:rPr>
          <w:b/>
          <w:sz w:val="32"/>
          <w:szCs w:val="32"/>
        </w:rPr>
      </w:pPr>
      <w:r w:rsidRPr="007C5585">
        <w:rPr>
          <w:b/>
          <w:color w:val="0070C0"/>
          <w:sz w:val="32"/>
          <w:szCs w:val="32"/>
        </w:rPr>
        <w:t>UEF K3SM050  Form</w:t>
      </w:r>
      <w:r>
        <w:rPr>
          <w:b/>
          <w:color w:val="0070C0"/>
          <w:sz w:val="32"/>
          <w:szCs w:val="32"/>
        </w:rPr>
        <w:t xml:space="preserve">ulation, fabrication et aspects  </w:t>
      </w:r>
      <w:r w:rsidRPr="007C5585">
        <w:rPr>
          <w:b/>
          <w:color w:val="0070C0"/>
          <w:sz w:val="32"/>
          <w:szCs w:val="32"/>
        </w:rPr>
        <w:t>biopharmaceutiques II</w:t>
      </w:r>
    </w:p>
    <w:p w:rsidR="00317A22" w:rsidRDefault="00590D1E" w:rsidP="007C5585">
      <w:pPr>
        <w:spacing w:after="120" w:line="240" w:lineRule="auto"/>
        <w:rPr>
          <w:sz w:val="36"/>
          <w:szCs w:val="36"/>
        </w:rPr>
      </w:pPr>
      <w:r w:rsidRPr="00691FFE">
        <w:rPr>
          <w:b/>
          <w:sz w:val="36"/>
          <w:szCs w:val="36"/>
        </w:rPr>
        <w:t>Intitulé de l’EC</w:t>
      </w:r>
      <w:r w:rsidR="00691FFE">
        <w:t> </w:t>
      </w:r>
      <w:r w:rsidR="00691FFE" w:rsidRPr="007C5585">
        <w:rPr>
          <w:sz w:val="28"/>
          <w:szCs w:val="28"/>
        </w:rPr>
        <w:t xml:space="preserve">: </w:t>
      </w:r>
      <w:r w:rsidR="007C5585" w:rsidRPr="007C5585">
        <w:rPr>
          <w:b/>
          <w:color w:val="0070C0"/>
          <w:sz w:val="28"/>
          <w:szCs w:val="28"/>
        </w:rPr>
        <w:t>K3SM050</w:t>
      </w:r>
      <w:r w:rsidR="007C5585">
        <w:t xml:space="preserve"> </w:t>
      </w:r>
      <w:r w:rsidR="001E1165">
        <w:t xml:space="preserve"> </w:t>
      </w:r>
      <w:r w:rsidR="00317A22">
        <w:rPr>
          <w:b/>
          <w:color w:val="0070C0"/>
          <w:sz w:val="28"/>
          <w:szCs w:val="28"/>
        </w:rPr>
        <w:t xml:space="preserve">Formulation et fabrication  des médicaments II   </w:t>
      </w:r>
      <w:r w:rsidR="00317A22">
        <w:rPr>
          <w:sz w:val="36"/>
          <w:szCs w:val="36"/>
        </w:rPr>
        <w:tab/>
      </w:r>
    </w:p>
    <w:p w:rsidR="00EC16B5" w:rsidRPr="007C5585" w:rsidRDefault="00EC16B5" w:rsidP="00EC16B5">
      <w:pPr>
        <w:rPr>
          <w:b/>
          <w:sz w:val="28"/>
          <w:szCs w:val="28"/>
        </w:rPr>
      </w:pPr>
      <w:r w:rsidRPr="000E77D5">
        <w:rPr>
          <w:b/>
          <w:sz w:val="24"/>
          <w:szCs w:val="24"/>
        </w:rPr>
        <w:t xml:space="preserve">Responsable enseignement </w:t>
      </w:r>
      <w:r w:rsidR="007C5585" w:rsidRPr="007C5585">
        <w:rPr>
          <w:b/>
          <w:sz w:val="28"/>
          <w:szCs w:val="28"/>
        </w:rPr>
        <w:t>: Aurélie</w:t>
      </w:r>
      <w:r w:rsidRPr="007C5585">
        <w:rPr>
          <w:b/>
          <w:sz w:val="28"/>
          <w:szCs w:val="28"/>
        </w:rPr>
        <w:t xml:space="preserve"> Chabaud</w:t>
      </w:r>
    </w:p>
    <w:p w:rsidR="00691FFE" w:rsidRPr="00691FFE" w:rsidRDefault="00691FF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  <w:r w:rsidR="007C5585">
        <w:rPr>
          <w:b/>
          <w:sz w:val="24"/>
          <w:szCs w:val="24"/>
        </w:rPr>
        <w:tab/>
      </w:r>
      <w:r w:rsidR="007C5585">
        <w:rPr>
          <w:b/>
          <w:sz w:val="24"/>
          <w:szCs w:val="24"/>
        </w:rPr>
        <w:tab/>
      </w:r>
      <w:r w:rsidR="007C5585">
        <w:rPr>
          <w:b/>
          <w:sz w:val="24"/>
          <w:szCs w:val="24"/>
        </w:rPr>
        <w:tab/>
      </w:r>
      <w:r w:rsidR="007C5585">
        <w:rPr>
          <w:b/>
          <w:sz w:val="24"/>
          <w:szCs w:val="24"/>
        </w:rPr>
        <w:tab/>
      </w:r>
      <w:r w:rsidR="007C5585">
        <w:rPr>
          <w:b/>
          <w:sz w:val="24"/>
          <w:szCs w:val="24"/>
        </w:rPr>
        <w:tab/>
      </w:r>
      <w:r w:rsidR="007C5585">
        <w:rPr>
          <w:b/>
          <w:sz w:val="24"/>
          <w:szCs w:val="24"/>
        </w:rPr>
        <w:tab/>
        <w:t>ECTS 4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B00F6F" w:rsidRPr="000F5B11">
        <w:trPr>
          <w:trHeight w:val="479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CM   </w:t>
            </w:r>
            <w:r w:rsidR="00785521">
              <w:rPr>
                <w:b/>
                <w:bCs/>
                <w:color w:val="365F91"/>
              </w:rPr>
              <w:t xml:space="preserve">    24</w:t>
            </w:r>
            <w:r w:rsidRPr="000F5B11">
              <w:rPr>
                <w:b/>
                <w:bCs/>
                <w:color w:val="365F91"/>
              </w:rPr>
              <w:t xml:space="preserve">       h</w:t>
            </w:r>
            <w:r w:rsidRPr="000F5B11"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ED      </w:t>
            </w:r>
            <w:r w:rsidR="00DE79D3">
              <w:rPr>
                <w:b/>
                <w:bCs/>
                <w:color w:val="365F91"/>
              </w:rPr>
              <w:t xml:space="preserve">  </w:t>
            </w:r>
            <w:r w:rsidRPr="000F5B11">
              <w:rPr>
                <w:b/>
                <w:bCs/>
                <w:color w:val="365F91"/>
              </w:rPr>
              <w:t xml:space="preserve">  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TP      </w:t>
            </w:r>
            <w:r w:rsidR="00785521">
              <w:rPr>
                <w:b/>
                <w:bCs/>
                <w:color w:val="365F91"/>
              </w:rPr>
              <w:t>18</w:t>
            </w:r>
            <w:r w:rsidRPr="000F5B11">
              <w:rPr>
                <w:b/>
                <w:bCs/>
                <w:color w:val="365F91"/>
              </w:rPr>
              <w:t xml:space="preserve">      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travail personnel : </w:t>
            </w:r>
            <w:r w:rsidRPr="000F5B11"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    </w:t>
            </w:r>
            <w:r w:rsidR="00EC16B5">
              <w:rPr>
                <w:b/>
                <w:bCs/>
                <w:color w:val="365F91"/>
              </w:rPr>
              <w:t>30</w:t>
            </w:r>
            <w:r w:rsidR="00785521">
              <w:rPr>
                <w:b/>
                <w:bCs/>
                <w:color w:val="365F91"/>
              </w:rPr>
              <w:t xml:space="preserve">   </w:t>
            </w:r>
            <w:r w:rsidRPr="000F5B11">
              <w:rPr>
                <w:b/>
                <w:bCs/>
                <w:color w:val="365F91"/>
              </w:rPr>
              <w:t xml:space="preserve"> h</w:t>
            </w:r>
          </w:p>
        </w:tc>
      </w:tr>
      <w:tr w:rsidR="00B00F6F" w:rsidRPr="000F5B11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590D1E" w:rsidRPr="00EC16B5" w:rsidRDefault="00590D1E" w:rsidP="00EE5893">
      <w:pPr>
        <w:spacing w:line="240" w:lineRule="auto"/>
        <w:rPr>
          <w:sz w:val="16"/>
          <w:szCs w:val="16"/>
        </w:rPr>
      </w:pPr>
      <w:r w:rsidRPr="00EC16B5">
        <w:rPr>
          <w:sz w:val="16"/>
          <w:szCs w:val="16"/>
        </w:rPr>
        <w:tab/>
        <w:t xml:space="preserve"> </w:t>
      </w:r>
    </w:p>
    <w:p w:rsidR="00590D1E" w:rsidRDefault="00590D1E" w:rsidP="00EE5893">
      <w:pPr>
        <w:spacing w:line="240" w:lineRule="auto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Objectifs pédagogiques</w:t>
      </w:r>
      <w:r w:rsidR="00691FFE" w:rsidRPr="00691FFE">
        <w:rPr>
          <w:b/>
          <w:sz w:val="24"/>
          <w:szCs w:val="24"/>
        </w:rPr>
        <w:t> :</w:t>
      </w:r>
    </w:p>
    <w:p w:rsidR="00AA07E9" w:rsidRDefault="00785521" w:rsidP="007B63D9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Connaître les étapes de formulation et les principaux procédés de fabrication et de conditionnement des formes galéniques </w:t>
      </w:r>
      <w:r w:rsidR="000C01BF">
        <w:rPr>
          <w:sz w:val="24"/>
          <w:szCs w:val="24"/>
        </w:rPr>
        <w:t>administrées par voie dermique</w:t>
      </w:r>
      <w:r w:rsidR="00EE5893">
        <w:rPr>
          <w:sz w:val="24"/>
          <w:szCs w:val="24"/>
        </w:rPr>
        <w:t xml:space="preserve"> et </w:t>
      </w:r>
      <w:r w:rsidR="000C01BF">
        <w:rPr>
          <w:sz w:val="24"/>
          <w:szCs w:val="24"/>
        </w:rPr>
        <w:t>rectale</w:t>
      </w:r>
    </w:p>
    <w:p w:rsidR="000C01BF" w:rsidRDefault="000C01BF" w:rsidP="007B63D9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Connaître les formes galéniques administrées par voie parentérale, le principe de la nutrition parentérale, la stérilisation et le conditionnement aseptique</w:t>
      </w:r>
    </w:p>
    <w:p w:rsidR="000C01BF" w:rsidRDefault="000C01BF" w:rsidP="007B63D9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Connaître les différents principes de conservation et de stabilité des médicaments ainsi que les principaux matériaux de conditionnement utilisés</w:t>
      </w:r>
    </w:p>
    <w:p w:rsidR="000C01BF" w:rsidRDefault="000C01BF" w:rsidP="007B63D9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Connaître </w:t>
      </w:r>
      <w:proofErr w:type="gramStart"/>
      <w:r>
        <w:rPr>
          <w:sz w:val="24"/>
          <w:szCs w:val="24"/>
        </w:rPr>
        <w:t>le formes galéniques innovantes</w:t>
      </w:r>
      <w:proofErr w:type="gramEnd"/>
      <w:r>
        <w:rPr>
          <w:sz w:val="24"/>
          <w:szCs w:val="24"/>
        </w:rPr>
        <w:t xml:space="preserve"> agissant sur la biodisponibilité et la </w:t>
      </w:r>
      <w:proofErr w:type="spellStart"/>
      <w:r>
        <w:rPr>
          <w:sz w:val="24"/>
          <w:szCs w:val="24"/>
        </w:rPr>
        <w:t>biodistribution</w:t>
      </w:r>
      <w:proofErr w:type="spellEnd"/>
      <w:r>
        <w:rPr>
          <w:sz w:val="24"/>
          <w:szCs w:val="24"/>
        </w:rPr>
        <w:t xml:space="preserve"> (ciblage)</w:t>
      </w:r>
    </w:p>
    <w:p w:rsidR="000C01BF" w:rsidRPr="00AA07E9" w:rsidRDefault="000C01BF" w:rsidP="00785521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Découvrir l'ingénierie tissulaire et les médicaments de thérapie innovante</w:t>
      </w:r>
    </w:p>
    <w:p w:rsidR="00590D1E" w:rsidRPr="00691FFE" w:rsidRDefault="00590D1E" w:rsidP="00EE5893">
      <w:pPr>
        <w:spacing w:line="240" w:lineRule="auto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Descriptifs des enseignements, des intervenants et découpage horaire</w:t>
      </w:r>
    </w:p>
    <w:p w:rsidR="0021705E" w:rsidRPr="005604E5" w:rsidRDefault="0021705E" w:rsidP="000A493D">
      <w:pPr>
        <w:numPr>
          <w:ilvl w:val="0"/>
          <w:numId w:val="3"/>
        </w:numPr>
        <w:tabs>
          <w:tab w:val="clear" w:pos="1800"/>
          <w:tab w:val="left" w:pos="-1980"/>
          <w:tab w:val="num" w:pos="540"/>
        </w:tabs>
        <w:spacing w:after="0" w:line="360" w:lineRule="auto"/>
        <w:ind w:left="900" w:hanging="540"/>
        <w:rPr>
          <w:b/>
          <w:bCs/>
          <w:u w:val="single"/>
        </w:rPr>
      </w:pPr>
      <w:r w:rsidRPr="005604E5">
        <w:rPr>
          <w:b/>
          <w:bCs/>
          <w:u w:val="single"/>
        </w:rPr>
        <w:t>Cours Magistraux</w:t>
      </w:r>
      <w:r w:rsidRPr="00EE5893">
        <w:rPr>
          <w:b/>
          <w:bCs/>
        </w:rPr>
        <w:t xml:space="preserve"> :</w:t>
      </w:r>
      <w:r w:rsidR="007C5585">
        <w:t xml:space="preserve"> </w:t>
      </w:r>
      <w:r>
        <w:t>2</w:t>
      </w:r>
      <w:r w:rsidR="00DE79D3">
        <w:t>4</w:t>
      </w:r>
      <w:r>
        <w:t xml:space="preserve">h (G. </w:t>
      </w:r>
      <w:proofErr w:type="spellStart"/>
      <w:r>
        <w:t>Grimandi</w:t>
      </w:r>
      <w:proofErr w:type="spellEnd"/>
      <w:r>
        <w:t>, H. Gautier, A. Chabaud)</w:t>
      </w:r>
    </w:p>
    <w:p w:rsidR="000C01BF" w:rsidRDefault="000C01BF" w:rsidP="000A493D">
      <w:pPr>
        <w:numPr>
          <w:ilvl w:val="0"/>
          <w:numId w:val="2"/>
        </w:numPr>
        <w:tabs>
          <w:tab w:val="clear" w:pos="1776"/>
          <w:tab w:val="num" w:pos="1080"/>
        </w:tabs>
        <w:spacing w:after="0" w:line="240" w:lineRule="auto"/>
        <w:ind w:hanging="1056"/>
      </w:pPr>
      <w:r>
        <w:t>Formes galéniques administrées par voie dermique : émulsions, crèmes pommades</w:t>
      </w:r>
      <w:r w:rsidR="00DE79D3">
        <w:t xml:space="preserve"> : 3h</w:t>
      </w:r>
    </w:p>
    <w:p w:rsidR="000C01BF" w:rsidRDefault="000C01BF" w:rsidP="000A493D">
      <w:pPr>
        <w:numPr>
          <w:ilvl w:val="0"/>
          <w:numId w:val="2"/>
        </w:numPr>
        <w:tabs>
          <w:tab w:val="clear" w:pos="1776"/>
          <w:tab w:val="num" w:pos="1080"/>
        </w:tabs>
        <w:spacing w:after="0" w:line="240" w:lineRule="auto"/>
        <w:ind w:hanging="1056"/>
      </w:pPr>
      <w:r>
        <w:t>Formes galéniques administrées par voie rectale et vaginale</w:t>
      </w:r>
      <w:r w:rsidR="00DE79D3">
        <w:t xml:space="preserve"> : 1h</w:t>
      </w:r>
    </w:p>
    <w:p w:rsidR="00E103B2" w:rsidRDefault="00E103B2" w:rsidP="000A493D">
      <w:pPr>
        <w:numPr>
          <w:ilvl w:val="0"/>
          <w:numId w:val="2"/>
        </w:numPr>
        <w:tabs>
          <w:tab w:val="clear" w:pos="1776"/>
          <w:tab w:val="num" w:pos="1080"/>
        </w:tabs>
        <w:spacing w:after="0" w:line="240" w:lineRule="auto"/>
        <w:ind w:hanging="1056"/>
      </w:pPr>
      <w:r>
        <w:t>Formes galéniques administrées par voie ophtalmique : 1,5h</w:t>
      </w:r>
    </w:p>
    <w:p w:rsidR="000C01BF" w:rsidRDefault="000C01BF" w:rsidP="000A493D">
      <w:pPr>
        <w:numPr>
          <w:ilvl w:val="0"/>
          <w:numId w:val="2"/>
        </w:numPr>
        <w:tabs>
          <w:tab w:val="clear" w:pos="1776"/>
          <w:tab w:val="num" w:pos="1080"/>
        </w:tabs>
        <w:spacing w:after="0" w:line="240" w:lineRule="auto"/>
        <w:ind w:hanging="1056"/>
      </w:pPr>
      <w:r>
        <w:t>Préparations pour usage parentéral : 3h</w:t>
      </w:r>
    </w:p>
    <w:p w:rsidR="000C01BF" w:rsidRDefault="000C01BF" w:rsidP="000A493D">
      <w:pPr>
        <w:numPr>
          <w:ilvl w:val="0"/>
          <w:numId w:val="2"/>
        </w:numPr>
        <w:tabs>
          <w:tab w:val="clear" w:pos="1776"/>
          <w:tab w:val="num" w:pos="1080"/>
        </w:tabs>
        <w:spacing w:after="0" w:line="240" w:lineRule="auto"/>
        <w:ind w:hanging="1056"/>
      </w:pPr>
      <w:r>
        <w:t>Nutrition parentérale : 1h</w:t>
      </w:r>
    </w:p>
    <w:p w:rsidR="000C01BF" w:rsidRDefault="000C01BF" w:rsidP="000A493D">
      <w:pPr>
        <w:numPr>
          <w:ilvl w:val="0"/>
          <w:numId w:val="2"/>
        </w:numPr>
        <w:tabs>
          <w:tab w:val="clear" w:pos="1776"/>
          <w:tab w:val="num" w:pos="1080"/>
        </w:tabs>
        <w:spacing w:after="0" w:line="240" w:lineRule="auto"/>
        <w:ind w:hanging="1056"/>
      </w:pPr>
      <w:r>
        <w:t>Stérilisation et Conditionnement aseptique   : 4h</w:t>
      </w:r>
    </w:p>
    <w:p w:rsidR="00E103B2" w:rsidRDefault="00E103B2" w:rsidP="000A493D">
      <w:pPr>
        <w:numPr>
          <w:ilvl w:val="0"/>
          <w:numId w:val="2"/>
        </w:numPr>
        <w:tabs>
          <w:tab w:val="clear" w:pos="1776"/>
          <w:tab w:val="num" w:pos="1080"/>
        </w:tabs>
        <w:spacing w:after="0" w:line="240" w:lineRule="auto"/>
        <w:ind w:hanging="1056"/>
      </w:pPr>
      <w:r>
        <w:t>Les différentes catégories d'eau pour usage pharmaceutique : 2h</w:t>
      </w:r>
    </w:p>
    <w:p w:rsidR="000C01BF" w:rsidRDefault="000C01BF" w:rsidP="000A493D">
      <w:pPr>
        <w:numPr>
          <w:ilvl w:val="0"/>
          <w:numId w:val="2"/>
        </w:numPr>
        <w:tabs>
          <w:tab w:val="clear" w:pos="1776"/>
          <w:tab w:val="num" w:pos="1080"/>
        </w:tabs>
        <w:spacing w:after="0" w:line="240" w:lineRule="auto"/>
        <w:ind w:left="1080" w:right="923"/>
      </w:pPr>
      <w:r>
        <w:t>Formes galéniques innovantes agissant sur la biodisp</w:t>
      </w:r>
      <w:r w:rsidR="000A493D">
        <w:t xml:space="preserve">onibilité et la </w:t>
      </w:r>
      <w:proofErr w:type="spellStart"/>
      <w:r w:rsidR="000A493D">
        <w:t>biodistribution</w:t>
      </w:r>
      <w:proofErr w:type="spellEnd"/>
      <w:r w:rsidR="000A493D">
        <w:t xml:space="preserve"> </w:t>
      </w:r>
      <w:r>
        <w:t xml:space="preserve">(ciblage) : </w:t>
      </w:r>
      <w:r w:rsidR="00E103B2">
        <w:t>5</w:t>
      </w:r>
      <w:r>
        <w:t xml:space="preserve"> h</w:t>
      </w:r>
    </w:p>
    <w:p w:rsidR="000C01BF" w:rsidRDefault="000C01BF" w:rsidP="000A493D">
      <w:pPr>
        <w:numPr>
          <w:ilvl w:val="1"/>
          <w:numId w:val="2"/>
        </w:numPr>
        <w:tabs>
          <w:tab w:val="clear" w:pos="2136"/>
          <w:tab w:val="num" w:pos="1440"/>
        </w:tabs>
        <w:spacing w:after="0" w:line="240" w:lineRule="auto"/>
        <w:ind w:hanging="1056"/>
      </w:pPr>
      <w:r>
        <w:t>Microencapsulation</w:t>
      </w:r>
    </w:p>
    <w:p w:rsidR="000C01BF" w:rsidRDefault="000C01BF" w:rsidP="000A493D">
      <w:pPr>
        <w:numPr>
          <w:ilvl w:val="1"/>
          <w:numId w:val="2"/>
        </w:numPr>
        <w:tabs>
          <w:tab w:val="clear" w:pos="2136"/>
          <w:tab w:val="num" w:pos="1440"/>
        </w:tabs>
        <w:spacing w:after="0" w:line="240" w:lineRule="auto"/>
        <w:ind w:hanging="1056"/>
      </w:pPr>
      <w:r>
        <w:t>Liposomes</w:t>
      </w:r>
    </w:p>
    <w:p w:rsidR="000C01BF" w:rsidRDefault="000C01BF" w:rsidP="000A493D">
      <w:pPr>
        <w:numPr>
          <w:ilvl w:val="1"/>
          <w:numId w:val="2"/>
        </w:numPr>
        <w:tabs>
          <w:tab w:val="clear" w:pos="2136"/>
          <w:tab w:val="num" w:pos="1440"/>
        </w:tabs>
        <w:spacing w:after="0" w:line="240" w:lineRule="auto"/>
        <w:ind w:hanging="1056"/>
      </w:pPr>
      <w:r>
        <w:t>Microémulsions </w:t>
      </w:r>
    </w:p>
    <w:p w:rsidR="000C01BF" w:rsidRDefault="000C01BF" w:rsidP="000A493D">
      <w:pPr>
        <w:numPr>
          <w:ilvl w:val="1"/>
          <w:numId w:val="2"/>
        </w:numPr>
        <w:tabs>
          <w:tab w:val="clear" w:pos="2136"/>
          <w:tab w:val="num" w:pos="1440"/>
        </w:tabs>
        <w:spacing w:after="0" w:line="240" w:lineRule="auto"/>
        <w:ind w:hanging="1056"/>
      </w:pPr>
      <w:r>
        <w:t xml:space="preserve">Cyclodextrines </w:t>
      </w:r>
    </w:p>
    <w:p w:rsidR="000C01BF" w:rsidRDefault="000C01BF" w:rsidP="000A493D">
      <w:pPr>
        <w:numPr>
          <w:ilvl w:val="1"/>
          <w:numId w:val="2"/>
        </w:numPr>
        <w:tabs>
          <w:tab w:val="clear" w:pos="2136"/>
          <w:tab w:val="num" w:pos="1440"/>
        </w:tabs>
        <w:spacing w:after="0" w:line="240" w:lineRule="auto"/>
        <w:ind w:hanging="1056"/>
      </w:pPr>
      <w:r>
        <w:t xml:space="preserve">Solubilisation micellaire </w:t>
      </w:r>
    </w:p>
    <w:p w:rsidR="000C01BF" w:rsidRDefault="000C01BF" w:rsidP="000A493D">
      <w:pPr>
        <w:numPr>
          <w:ilvl w:val="0"/>
          <w:numId w:val="2"/>
        </w:numPr>
        <w:tabs>
          <w:tab w:val="clear" w:pos="1776"/>
          <w:tab w:val="num" w:pos="1080"/>
        </w:tabs>
        <w:spacing w:after="0" w:line="240" w:lineRule="auto"/>
        <w:ind w:hanging="1056"/>
      </w:pPr>
      <w:r>
        <w:t>Ingénierie tissulaire – Médicaments de thérapies innovantes : 1h</w:t>
      </w:r>
    </w:p>
    <w:p w:rsidR="000C01BF" w:rsidRDefault="000C01BF" w:rsidP="000A493D">
      <w:pPr>
        <w:numPr>
          <w:ilvl w:val="0"/>
          <w:numId w:val="2"/>
        </w:numPr>
        <w:tabs>
          <w:tab w:val="clear" w:pos="1776"/>
          <w:tab w:val="num" w:pos="1080"/>
        </w:tabs>
        <w:spacing w:after="0" w:line="240" w:lineRule="auto"/>
        <w:ind w:hanging="1056"/>
      </w:pPr>
      <w:r>
        <w:lastRenderedPageBreak/>
        <w:t xml:space="preserve">Conservation - Matériau de conditionnement : </w:t>
      </w:r>
      <w:r w:rsidR="00E103B2">
        <w:t xml:space="preserve">2,5 </w:t>
      </w:r>
      <w:r>
        <w:t>h</w:t>
      </w:r>
    </w:p>
    <w:p w:rsidR="000E77D5" w:rsidRDefault="000E77D5" w:rsidP="000E77D5">
      <w:pPr>
        <w:spacing w:after="0" w:line="240" w:lineRule="auto"/>
        <w:ind w:left="1416"/>
      </w:pPr>
    </w:p>
    <w:p w:rsidR="0021705E" w:rsidRPr="0021705E" w:rsidRDefault="0021705E" w:rsidP="000A493D">
      <w:pPr>
        <w:numPr>
          <w:ilvl w:val="0"/>
          <w:numId w:val="3"/>
        </w:numPr>
        <w:tabs>
          <w:tab w:val="clear" w:pos="1800"/>
          <w:tab w:val="left" w:pos="-1980"/>
          <w:tab w:val="num" w:pos="540"/>
        </w:tabs>
        <w:spacing w:after="0" w:line="360" w:lineRule="auto"/>
        <w:ind w:left="900" w:hanging="540"/>
        <w:rPr>
          <w:b/>
          <w:bCs/>
          <w:u w:val="single"/>
        </w:rPr>
      </w:pPr>
      <w:r>
        <w:rPr>
          <w:b/>
          <w:bCs/>
          <w:u w:val="single"/>
        </w:rPr>
        <w:t>Applications</w:t>
      </w:r>
      <w:r w:rsidRPr="000A493D">
        <w:rPr>
          <w:b/>
          <w:bCs/>
          <w:u w:val="single"/>
        </w:rPr>
        <w:t xml:space="preserve"> :</w:t>
      </w:r>
      <w:r w:rsidRPr="005604E5">
        <w:rPr>
          <w:b/>
          <w:bCs/>
          <w:u w:val="single"/>
        </w:rPr>
        <w:t xml:space="preserve"> </w:t>
      </w:r>
      <w:r w:rsidR="00DE79D3" w:rsidRPr="000A493D">
        <w:rPr>
          <w:b/>
          <w:bCs/>
          <w:u w:val="single"/>
        </w:rPr>
        <w:t>6</w:t>
      </w:r>
      <w:r w:rsidR="009A1BE6" w:rsidRPr="000A493D">
        <w:rPr>
          <w:b/>
          <w:bCs/>
          <w:u w:val="single"/>
        </w:rPr>
        <w:t xml:space="preserve"> séances de </w:t>
      </w:r>
      <w:r w:rsidRPr="000A493D">
        <w:rPr>
          <w:b/>
          <w:bCs/>
          <w:u w:val="single"/>
        </w:rPr>
        <w:t xml:space="preserve">TP </w:t>
      </w:r>
      <w:r w:rsidR="009A1BE6" w:rsidRPr="000A493D">
        <w:rPr>
          <w:b/>
          <w:bCs/>
          <w:u w:val="single"/>
        </w:rPr>
        <w:t xml:space="preserve">soit </w:t>
      </w:r>
      <w:r w:rsidRPr="000A493D">
        <w:rPr>
          <w:b/>
          <w:bCs/>
          <w:u w:val="single"/>
        </w:rPr>
        <w:t xml:space="preserve">18 h  </w:t>
      </w:r>
      <w:r w:rsidR="002A4B0F" w:rsidRPr="000A493D">
        <w:rPr>
          <w:b/>
          <w:bCs/>
          <w:u w:val="single"/>
        </w:rPr>
        <w:t xml:space="preserve">+  1 séance d'examen  </w:t>
      </w:r>
      <w:r w:rsidRPr="000A493D">
        <w:rPr>
          <w:b/>
          <w:bCs/>
          <w:u w:val="single"/>
        </w:rPr>
        <w:t>(H. Gautier, A. Chabaud, J. Clouet)</w:t>
      </w:r>
    </w:p>
    <w:p w:rsidR="0021705E" w:rsidRDefault="0021705E" w:rsidP="000A493D">
      <w:pPr>
        <w:numPr>
          <w:ilvl w:val="0"/>
          <w:numId w:val="2"/>
        </w:numPr>
        <w:tabs>
          <w:tab w:val="clear" w:pos="1776"/>
          <w:tab w:val="num" w:pos="1080"/>
        </w:tabs>
        <w:spacing w:after="0" w:line="240" w:lineRule="auto"/>
        <w:ind w:hanging="1056"/>
      </w:pPr>
      <w:r>
        <w:t xml:space="preserve">Formes </w:t>
      </w:r>
      <w:r w:rsidR="00DE79D3">
        <w:t>semi-solides et émulsions</w:t>
      </w:r>
      <w:r>
        <w:t xml:space="preserve"> </w:t>
      </w:r>
      <w:r w:rsidR="009A1BE6">
        <w:t xml:space="preserve">: </w:t>
      </w:r>
      <w:r w:rsidR="00DE79D3">
        <w:t>pommades, crèmes, émulsions et suppositoires</w:t>
      </w:r>
    </w:p>
    <w:p w:rsidR="0021705E" w:rsidRDefault="0021705E" w:rsidP="000A493D">
      <w:pPr>
        <w:numPr>
          <w:ilvl w:val="0"/>
          <w:numId w:val="2"/>
        </w:numPr>
        <w:tabs>
          <w:tab w:val="clear" w:pos="1776"/>
          <w:tab w:val="num" w:pos="1080"/>
        </w:tabs>
        <w:spacing w:after="0" w:line="240" w:lineRule="auto"/>
        <w:ind w:hanging="1056"/>
      </w:pPr>
      <w:r>
        <w:t xml:space="preserve">Formes </w:t>
      </w:r>
      <w:r w:rsidR="00DE79D3">
        <w:t>innovantes</w:t>
      </w:r>
      <w:r>
        <w:t xml:space="preserve"> : </w:t>
      </w:r>
      <w:r w:rsidR="00DE79D3">
        <w:t>complexes d'inclusion, microémulsions et microparticules</w:t>
      </w:r>
    </w:p>
    <w:p w:rsidR="000E4ED8" w:rsidRPr="00737166" w:rsidRDefault="000E4ED8" w:rsidP="000E4ED8">
      <w:pPr>
        <w:spacing w:after="0"/>
        <w:ind w:left="2124" w:firstLine="708"/>
      </w:pPr>
    </w:p>
    <w:p w:rsidR="000E77D5" w:rsidRDefault="000E77D5" w:rsidP="00EE5893">
      <w:pPr>
        <w:spacing w:line="240" w:lineRule="auto"/>
        <w:rPr>
          <w:b/>
          <w:sz w:val="24"/>
          <w:szCs w:val="24"/>
        </w:rPr>
      </w:pPr>
    </w:p>
    <w:p w:rsidR="00684B6F" w:rsidRDefault="00684B6F" w:rsidP="00EE5893">
      <w:pPr>
        <w:spacing w:line="240" w:lineRule="auto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Modalités d’évaluation</w:t>
      </w:r>
      <w:r w:rsidR="000E4ED8">
        <w:rPr>
          <w:b/>
          <w:sz w:val="24"/>
          <w:szCs w:val="24"/>
        </w:rPr>
        <w:t> :</w:t>
      </w:r>
    </w:p>
    <w:p w:rsidR="000E77D5" w:rsidRDefault="000E77D5" w:rsidP="002E4232">
      <w:pPr>
        <w:spacing w:after="0"/>
        <w:jc w:val="both"/>
        <w:rPr>
          <w:sz w:val="24"/>
          <w:szCs w:val="24"/>
        </w:rPr>
      </w:pPr>
      <w:r w:rsidRPr="000E4ED8">
        <w:rPr>
          <w:sz w:val="24"/>
          <w:szCs w:val="24"/>
        </w:rPr>
        <w:t xml:space="preserve">Contrôle continu  </w:t>
      </w:r>
      <w:r>
        <w:rPr>
          <w:sz w:val="24"/>
          <w:szCs w:val="24"/>
        </w:rPr>
        <w:t xml:space="preserve"> :  </w:t>
      </w:r>
    </w:p>
    <w:p w:rsidR="000E77D5" w:rsidRDefault="000E77D5" w:rsidP="002E423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Cours magistral : Contrôle final 1h,   60%</w:t>
      </w:r>
    </w:p>
    <w:p w:rsidR="000E77D5" w:rsidRPr="000E4ED8" w:rsidRDefault="000E77D5" w:rsidP="000E77D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TP  :</w:t>
      </w:r>
      <w:proofErr w:type="gramEnd"/>
      <w:r>
        <w:rPr>
          <w:sz w:val="24"/>
          <w:szCs w:val="24"/>
        </w:rPr>
        <w:t xml:space="preserve"> Contrôle continu et  Examen de TP,  40%</w:t>
      </w:r>
    </w:p>
    <w:p w:rsidR="009A1BE6" w:rsidRDefault="00684B6F">
      <w:pPr>
        <w:rPr>
          <w:sz w:val="24"/>
          <w:szCs w:val="24"/>
        </w:rPr>
      </w:pPr>
      <w:r w:rsidRPr="00691FFE">
        <w:rPr>
          <w:b/>
          <w:sz w:val="24"/>
          <w:szCs w:val="24"/>
        </w:rPr>
        <w:t xml:space="preserve">Pré-requis : </w:t>
      </w:r>
      <w:r w:rsidR="00DE79D3" w:rsidRPr="00DE79D3">
        <w:rPr>
          <w:bCs/>
          <w:sz w:val="24"/>
          <w:szCs w:val="24"/>
        </w:rPr>
        <w:t>C</w:t>
      </w:r>
      <w:r w:rsidR="000E4ED8" w:rsidRPr="000E4ED8">
        <w:rPr>
          <w:sz w:val="24"/>
          <w:szCs w:val="24"/>
        </w:rPr>
        <w:t xml:space="preserve">ours de </w:t>
      </w:r>
      <w:r w:rsidR="009A1BE6">
        <w:rPr>
          <w:sz w:val="24"/>
          <w:szCs w:val="24"/>
        </w:rPr>
        <w:t>législation pharmaceutique</w:t>
      </w:r>
      <w:r w:rsidR="000E4ED8" w:rsidRPr="000E4ED8">
        <w:rPr>
          <w:sz w:val="24"/>
          <w:szCs w:val="24"/>
        </w:rPr>
        <w:t xml:space="preserve"> </w:t>
      </w:r>
      <w:r w:rsidR="009A1BE6">
        <w:rPr>
          <w:sz w:val="24"/>
          <w:szCs w:val="24"/>
        </w:rPr>
        <w:t>(</w:t>
      </w:r>
      <w:r w:rsidR="00DE79D3">
        <w:rPr>
          <w:sz w:val="24"/>
          <w:szCs w:val="24"/>
        </w:rPr>
        <w:t xml:space="preserve">UEC1 - </w:t>
      </w:r>
      <w:r w:rsidR="000E4ED8" w:rsidRPr="000E4ED8">
        <w:rPr>
          <w:sz w:val="24"/>
          <w:szCs w:val="24"/>
        </w:rPr>
        <w:t>S3</w:t>
      </w:r>
      <w:r w:rsidR="009A1BE6">
        <w:rPr>
          <w:sz w:val="24"/>
          <w:szCs w:val="24"/>
        </w:rPr>
        <w:t>)</w:t>
      </w:r>
      <w:r w:rsidR="00DE79D3">
        <w:rPr>
          <w:sz w:val="24"/>
          <w:szCs w:val="24"/>
        </w:rPr>
        <w:t xml:space="preserve">, UEF5 </w:t>
      </w:r>
      <w:r w:rsidR="00EE5893">
        <w:rPr>
          <w:sz w:val="24"/>
          <w:szCs w:val="24"/>
        </w:rPr>
        <w:t>"</w:t>
      </w:r>
      <w:r w:rsidR="00EE5893" w:rsidRPr="00EE5893">
        <w:rPr>
          <w:bCs/>
          <w:sz w:val="24"/>
          <w:szCs w:val="24"/>
        </w:rPr>
        <w:t>Formulation, fabrication et aspects biopharmaceutiques I</w:t>
      </w:r>
      <w:r w:rsidR="00EE5893">
        <w:rPr>
          <w:bCs/>
          <w:sz w:val="24"/>
          <w:szCs w:val="24"/>
        </w:rPr>
        <w:t>"</w:t>
      </w:r>
      <w:r w:rsidR="00EE5893" w:rsidRPr="00EE5893">
        <w:rPr>
          <w:bCs/>
          <w:sz w:val="24"/>
          <w:szCs w:val="24"/>
        </w:rPr>
        <w:t xml:space="preserve"> </w:t>
      </w:r>
      <w:r w:rsidR="00DE79D3">
        <w:rPr>
          <w:sz w:val="24"/>
          <w:szCs w:val="24"/>
        </w:rPr>
        <w:t>(S4)</w:t>
      </w:r>
    </w:p>
    <w:sectPr w:rsidR="009A1BE6" w:rsidSect="002A4B0F">
      <w:headerReference w:type="default" r:id="rId7"/>
      <w:footerReference w:type="default" r:id="rId8"/>
      <w:pgSz w:w="11906" w:h="16838"/>
      <w:pgMar w:top="1079" w:right="110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9AE" w:rsidRDefault="00A609AE" w:rsidP="007C5585">
      <w:pPr>
        <w:spacing w:after="0" w:line="240" w:lineRule="auto"/>
      </w:pPr>
      <w:r>
        <w:separator/>
      </w:r>
    </w:p>
  </w:endnote>
  <w:endnote w:type="continuationSeparator" w:id="0">
    <w:p w:rsidR="00A609AE" w:rsidRDefault="00A609AE" w:rsidP="007C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85" w:rsidRDefault="007C5585">
    <w:pPr>
      <w:pStyle w:val="Pieddepage"/>
    </w:pPr>
    <w:r>
      <w:t>02/05/2012</w:t>
    </w:r>
  </w:p>
  <w:p w:rsidR="007C5585" w:rsidRDefault="007C558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9AE" w:rsidRDefault="00A609AE" w:rsidP="007C5585">
      <w:pPr>
        <w:spacing w:after="0" w:line="240" w:lineRule="auto"/>
      </w:pPr>
      <w:r>
        <w:separator/>
      </w:r>
    </w:p>
  </w:footnote>
  <w:footnote w:type="continuationSeparator" w:id="0">
    <w:p w:rsidR="00A609AE" w:rsidRDefault="00A609AE" w:rsidP="007C5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7BC" w:rsidRDefault="00EE67BC" w:rsidP="007916A2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32.35pt;margin-top:14.2pt;width:60.8pt;height:27.6pt;z-index:251661312" stroked="f">
          <v:textbox>
            <w:txbxContent>
              <w:p w:rsidR="00EE67BC" w:rsidRPr="004C5115" w:rsidRDefault="00EE67BC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3" type="#_x0000_t202" style="position:absolute;margin-left:303.15pt;margin-top:1.8pt;width:88.8pt;height:40pt;z-index:251660288" stroked="f">
          <v:textbox>
            <w:txbxContent>
              <w:p w:rsidR="00EE67BC" w:rsidRPr="007916A2" w:rsidRDefault="00EE67BC">
                <w:pPr>
                  <w:rPr>
                    <w:color w:val="17365D" w:themeColor="text2" w:themeShade="BF"/>
                    <w:sz w:val="18"/>
                  </w:rPr>
                </w:pPr>
                <w:r w:rsidRPr="007916A2">
                  <w:rPr>
                    <w:rFonts w:ascii="Arial" w:hAnsi="Arial" w:cs="Arial"/>
                    <w:noProof/>
                    <w:color w:val="17365D" w:themeColor="text2" w:themeShade="BF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>
      <w:rPr>
        <w:noProof/>
        <w:lang w:eastAsia="fr-FR"/>
      </w:rPr>
      <w:drawing>
        <wp:inline distT="0" distB="0" distL="0" distR="0">
          <wp:extent cx="1017852" cy="552450"/>
          <wp:effectExtent l="19050" t="0" r="0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2011quadri_larg1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450" cy="55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>
          <wp:extent cx="450056" cy="571500"/>
          <wp:effectExtent l="19050" t="0" r="7144" b="0"/>
          <wp:docPr id="5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0056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67BC" w:rsidRDefault="00EE67B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3F93"/>
    <w:multiLevelType w:val="hybridMultilevel"/>
    <w:tmpl w:val="4BBE13B8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64310086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</w:abstractNum>
  <w:abstractNum w:abstractNumId="2">
    <w:nsid w:val="69925866"/>
    <w:multiLevelType w:val="hybridMultilevel"/>
    <w:tmpl w:val="F3B059BE"/>
    <w:lvl w:ilvl="0" w:tplc="05B427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21E12"/>
    <w:rsid w:val="000A493D"/>
    <w:rsid w:val="000C01BF"/>
    <w:rsid w:val="000E4ED8"/>
    <w:rsid w:val="000E77D5"/>
    <w:rsid w:val="000F5B11"/>
    <w:rsid w:val="001E1165"/>
    <w:rsid w:val="0021705E"/>
    <w:rsid w:val="00235F98"/>
    <w:rsid w:val="002A4B0F"/>
    <w:rsid w:val="002E4232"/>
    <w:rsid w:val="00317A22"/>
    <w:rsid w:val="00450667"/>
    <w:rsid w:val="00590D1E"/>
    <w:rsid w:val="00684B6F"/>
    <w:rsid w:val="00691FFE"/>
    <w:rsid w:val="007304D4"/>
    <w:rsid w:val="00737166"/>
    <w:rsid w:val="00785521"/>
    <w:rsid w:val="007B63D9"/>
    <w:rsid w:val="007C5585"/>
    <w:rsid w:val="00910748"/>
    <w:rsid w:val="00942367"/>
    <w:rsid w:val="009A1BE6"/>
    <w:rsid w:val="00A609AE"/>
    <w:rsid w:val="00AA07E9"/>
    <w:rsid w:val="00B00F6F"/>
    <w:rsid w:val="00D3194B"/>
    <w:rsid w:val="00D60AE6"/>
    <w:rsid w:val="00DE79D3"/>
    <w:rsid w:val="00E103B2"/>
    <w:rsid w:val="00EC16B5"/>
    <w:rsid w:val="00EE5893"/>
    <w:rsid w:val="00EE67BC"/>
    <w:rsid w:val="00FD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">
    <w:name w:val="Light Shading Accent 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En-tte">
    <w:name w:val="header"/>
    <w:basedOn w:val="Normal"/>
    <w:link w:val="En-tteCar"/>
    <w:uiPriority w:val="99"/>
    <w:unhideWhenUsed/>
    <w:rsid w:val="007C55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558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C55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5585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6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67B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Intitulé de l’EC : </vt:lpstr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Intitulé de l’EC :</dc:title>
  <dc:subject/>
  <dc:creator>Virginie</dc:creator>
  <cp:keywords/>
  <cp:lastModifiedBy> </cp:lastModifiedBy>
  <cp:revision>3</cp:revision>
  <cp:lastPrinted>2011-02-18T10:59:00Z</cp:lastPrinted>
  <dcterms:created xsi:type="dcterms:W3CDTF">2013-01-21T09:52:00Z</dcterms:created>
  <dcterms:modified xsi:type="dcterms:W3CDTF">2013-01-21T09:52:00Z</dcterms:modified>
</cp:coreProperties>
</file>