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E96" w:rsidRDefault="00165E96" w:rsidP="004C16FA">
      <w:pPr>
        <w:spacing w:after="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UEF K3SM070 SCIENCES ANALYTIQUES II</w:t>
      </w:r>
      <w:r w:rsidR="00B716CD">
        <w:rPr>
          <w:b/>
          <w:sz w:val="36"/>
          <w:szCs w:val="36"/>
        </w:rPr>
        <w:t>I</w:t>
      </w:r>
    </w:p>
    <w:p w:rsidR="00590D1E" w:rsidRDefault="00590D1E" w:rsidP="00165E96">
      <w:pPr>
        <w:spacing w:after="0" w:line="240" w:lineRule="auto"/>
        <w:rPr>
          <w:sz w:val="36"/>
          <w:szCs w:val="36"/>
        </w:rPr>
      </w:pPr>
      <w:r w:rsidRPr="00691FFE">
        <w:rPr>
          <w:b/>
          <w:sz w:val="36"/>
          <w:szCs w:val="36"/>
        </w:rPr>
        <w:t>Intitulé de l’EC</w:t>
      </w:r>
      <w:r w:rsidR="00691FFE">
        <w:t xml:space="preserve"> : </w:t>
      </w:r>
      <w:r w:rsidR="00165E96">
        <w:tab/>
      </w:r>
      <w:r w:rsidR="00165E96">
        <w:rPr>
          <w:b/>
          <w:sz w:val="36"/>
          <w:szCs w:val="36"/>
        </w:rPr>
        <w:t xml:space="preserve">K3SM071 </w:t>
      </w:r>
      <w:r w:rsidR="004C16FA" w:rsidRPr="00EE0243">
        <w:rPr>
          <w:b/>
          <w:color w:val="7F7F7F"/>
          <w:sz w:val="32"/>
          <w:szCs w:val="36"/>
        </w:rPr>
        <w:t>Chimie Analytique</w:t>
      </w:r>
      <w:r w:rsidR="004C16FA">
        <w:rPr>
          <w:sz w:val="36"/>
          <w:szCs w:val="36"/>
        </w:rPr>
        <w:tab/>
      </w:r>
    </w:p>
    <w:p w:rsidR="00FE124B" w:rsidRDefault="00165E96" w:rsidP="00165E96">
      <w:pPr>
        <w:spacing w:after="0" w:line="240" w:lineRule="auto"/>
        <w:rPr>
          <w:b/>
          <w:color w:val="7F7F7F"/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b/>
          <w:sz w:val="36"/>
          <w:szCs w:val="36"/>
        </w:rPr>
        <w:t xml:space="preserve">K3SM072 </w:t>
      </w:r>
      <w:r w:rsidR="00FE124B" w:rsidRPr="00EE0243">
        <w:rPr>
          <w:b/>
          <w:color w:val="7F7F7F"/>
          <w:sz w:val="32"/>
          <w:szCs w:val="36"/>
        </w:rPr>
        <w:t xml:space="preserve">Chimie </w:t>
      </w:r>
      <w:r w:rsidR="00EE0243" w:rsidRPr="00EE0243">
        <w:rPr>
          <w:b/>
          <w:color w:val="7F7F7F"/>
          <w:sz w:val="32"/>
          <w:szCs w:val="36"/>
        </w:rPr>
        <w:t>thérapeutique</w:t>
      </w:r>
      <w:r w:rsidR="00FE124B">
        <w:rPr>
          <w:b/>
          <w:color w:val="7F7F7F"/>
          <w:sz w:val="36"/>
          <w:szCs w:val="36"/>
        </w:rPr>
        <w:tab/>
      </w:r>
    </w:p>
    <w:p w:rsidR="00EE0243" w:rsidRPr="00FE124B" w:rsidRDefault="00165E96" w:rsidP="00165E96">
      <w:pPr>
        <w:tabs>
          <w:tab w:val="left" w:pos="2835"/>
        </w:tabs>
        <w:spacing w:line="240" w:lineRule="auto"/>
        <w:rPr>
          <w:b/>
          <w:color w:val="000000"/>
          <w:sz w:val="36"/>
          <w:szCs w:val="36"/>
        </w:rPr>
      </w:pPr>
      <w:r>
        <w:rPr>
          <w:b/>
          <w:color w:val="7F7F7F"/>
          <w:sz w:val="36"/>
          <w:szCs w:val="36"/>
        </w:rPr>
        <w:tab/>
      </w:r>
      <w:r>
        <w:rPr>
          <w:b/>
          <w:sz w:val="36"/>
          <w:szCs w:val="36"/>
        </w:rPr>
        <w:t xml:space="preserve">K3SM073 </w:t>
      </w:r>
      <w:r w:rsidR="00EE0243" w:rsidRPr="00EE0243">
        <w:rPr>
          <w:b/>
          <w:color w:val="7F7F7F"/>
          <w:sz w:val="32"/>
          <w:szCs w:val="36"/>
        </w:rPr>
        <w:t>Pharmacognosie</w:t>
      </w:r>
    </w:p>
    <w:p w:rsidR="00072011" w:rsidRPr="00072011" w:rsidRDefault="0007201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Responsable : </w:t>
      </w:r>
      <w:r w:rsidRPr="00165E96">
        <w:rPr>
          <w:b/>
          <w:sz w:val="28"/>
          <w:szCs w:val="28"/>
        </w:rPr>
        <w:t xml:space="preserve">Christine </w:t>
      </w:r>
      <w:r w:rsidR="00904C1C" w:rsidRPr="00165E96">
        <w:rPr>
          <w:b/>
          <w:sz w:val="28"/>
          <w:szCs w:val="28"/>
        </w:rPr>
        <w:t>HERRENKNECHT</w:t>
      </w:r>
      <w:r w:rsidR="00A66FAA">
        <w:rPr>
          <w:sz w:val="24"/>
          <w:szCs w:val="24"/>
        </w:rPr>
        <w:t xml:space="preserve"> </w:t>
      </w:r>
    </w:p>
    <w:p w:rsidR="00691FFE" w:rsidRPr="00691FFE" w:rsidRDefault="00691FFE">
      <w:pPr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  <w:r w:rsidR="00165E96">
        <w:rPr>
          <w:b/>
          <w:sz w:val="24"/>
          <w:szCs w:val="24"/>
        </w:rPr>
        <w:tab/>
      </w:r>
      <w:r w:rsidR="00165E96">
        <w:rPr>
          <w:b/>
          <w:sz w:val="24"/>
          <w:szCs w:val="24"/>
        </w:rPr>
        <w:tab/>
      </w:r>
      <w:r w:rsidR="00165E96">
        <w:rPr>
          <w:b/>
          <w:sz w:val="24"/>
          <w:szCs w:val="24"/>
        </w:rPr>
        <w:tab/>
      </w:r>
      <w:r w:rsidR="00165E96">
        <w:rPr>
          <w:b/>
          <w:sz w:val="24"/>
          <w:szCs w:val="24"/>
        </w:rPr>
        <w:tab/>
      </w:r>
      <w:r w:rsidR="00165E96" w:rsidRPr="00B35322">
        <w:rPr>
          <w:b/>
          <w:bCs/>
          <w:color w:val="365F91"/>
          <w:sz w:val="32"/>
        </w:rPr>
        <w:t xml:space="preserve"> ECTS</w:t>
      </w:r>
      <w:r w:rsidR="00165E96">
        <w:rPr>
          <w:b/>
          <w:bCs/>
          <w:color w:val="365F91"/>
          <w:sz w:val="32"/>
        </w:rPr>
        <w:t xml:space="preserve">  6</w:t>
      </w:r>
    </w:p>
    <w:tbl>
      <w:tblPr>
        <w:tblW w:w="8330" w:type="dxa"/>
        <w:tblBorders>
          <w:top w:val="single" w:sz="8" w:space="0" w:color="4F81BD"/>
          <w:bottom w:val="single" w:sz="8" w:space="0" w:color="4F81BD"/>
        </w:tblBorders>
        <w:tblLayout w:type="fixed"/>
        <w:tblLook w:val="04A0"/>
      </w:tblPr>
      <w:tblGrid>
        <w:gridCol w:w="1757"/>
        <w:gridCol w:w="680"/>
        <w:gridCol w:w="680"/>
        <w:gridCol w:w="680"/>
        <w:gridCol w:w="680"/>
        <w:gridCol w:w="680"/>
        <w:gridCol w:w="680"/>
        <w:gridCol w:w="1025"/>
        <w:gridCol w:w="850"/>
        <w:gridCol w:w="618"/>
      </w:tblGrid>
      <w:tr w:rsidR="002879D7" w:rsidRPr="000F5B11" w:rsidTr="00413AE3">
        <w:trPr>
          <w:trHeight w:val="110"/>
        </w:trPr>
        <w:tc>
          <w:tcPr>
            <w:tcW w:w="1757" w:type="dxa"/>
            <w:tcBorders>
              <w:left w:val="nil"/>
              <w:right w:val="nil"/>
            </w:tcBorders>
            <w:shd w:val="clear" w:color="auto" w:fill="auto"/>
          </w:tcPr>
          <w:p w:rsidR="002879D7" w:rsidRDefault="002879D7" w:rsidP="00FC0A7C">
            <w:pPr>
              <w:spacing w:after="0" w:line="240" w:lineRule="auto"/>
              <w:rPr>
                <w:b/>
                <w:bCs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Default="002879D7" w:rsidP="00FC0A7C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>CM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15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  <w:r>
              <w:rPr>
                <w:b/>
                <w:bCs/>
                <w:color w:val="365F91"/>
              </w:rPr>
              <w:t>ED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7,5</w:t>
            </w:r>
            <w:r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  <w:r>
              <w:rPr>
                <w:b/>
                <w:bCs/>
                <w:color w:val="365F91"/>
              </w:rPr>
              <w:t>TP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auto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68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  <w:tc>
          <w:tcPr>
            <w:tcW w:w="187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travail personnel :</w:t>
            </w:r>
          </w:p>
        </w:tc>
        <w:tc>
          <w:tcPr>
            <w:tcW w:w="618" w:type="dxa"/>
            <w:tcBorders>
              <w:left w:val="nil"/>
              <w:right w:val="nil"/>
            </w:tcBorders>
            <w:shd w:val="clear" w:color="auto" w:fill="auto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60 </w:t>
            </w:r>
            <w:r w:rsidRPr="000F5B11">
              <w:rPr>
                <w:b/>
                <w:bCs/>
                <w:color w:val="365F91"/>
              </w:rPr>
              <w:t>h</w:t>
            </w:r>
          </w:p>
        </w:tc>
      </w:tr>
      <w:tr w:rsidR="002879D7" w:rsidRPr="000F5B11" w:rsidTr="00413AE3">
        <w:trPr>
          <w:trHeight w:val="110"/>
        </w:trPr>
        <w:tc>
          <w:tcPr>
            <w:tcW w:w="1757" w:type="dxa"/>
            <w:tcBorders>
              <w:left w:val="nil"/>
              <w:right w:val="nil"/>
            </w:tcBorders>
            <w:shd w:val="clear" w:color="auto" w:fill="D3DFEE"/>
          </w:tcPr>
          <w:p w:rsidR="002879D7" w:rsidRPr="000F5B11" w:rsidRDefault="002879D7" w:rsidP="00FC0A7C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Chimie Analytique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Cs/>
                <w:color w:val="365F91"/>
              </w:rPr>
              <w:t>15</w:t>
            </w:r>
            <w:r w:rsidRPr="00FE124B">
              <w:rPr>
                <w:bCs/>
                <w:color w:val="365F91"/>
              </w:rPr>
              <w:t xml:space="preserve"> h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b/>
                <w:bCs/>
                <w:color w:val="365F91"/>
              </w:rPr>
              <w:t>7,5</w:t>
            </w:r>
            <w:r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color w:val="365F91"/>
              </w:rPr>
              <w:t>32 h</w:t>
            </w:r>
          </w:p>
        </w:tc>
        <w:tc>
          <w:tcPr>
            <w:tcW w:w="1025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61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</w:tr>
      <w:tr w:rsidR="002879D7" w:rsidRPr="000F5B11" w:rsidTr="00413AE3">
        <w:trPr>
          <w:trHeight w:val="110"/>
        </w:trPr>
        <w:tc>
          <w:tcPr>
            <w:tcW w:w="1757" w:type="dxa"/>
            <w:tcBorders>
              <w:left w:val="nil"/>
              <w:right w:val="nil"/>
            </w:tcBorders>
            <w:shd w:val="clear" w:color="auto" w:fill="D3DFEE"/>
          </w:tcPr>
          <w:p w:rsidR="002879D7" w:rsidRPr="000F5B11" w:rsidRDefault="002879D7" w:rsidP="00FC0A7C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Synthèse PA et essais physico-chimiques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11FCF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color w:val="365F91"/>
              </w:rPr>
              <w:t>27 h</w:t>
            </w:r>
          </w:p>
        </w:tc>
        <w:tc>
          <w:tcPr>
            <w:tcW w:w="1025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61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</w:tr>
      <w:tr w:rsidR="002879D7" w:rsidRPr="000F5B11" w:rsidTr="00413AE3">
        <w:trPr>
          <w:trHeight w:val="110"/>
        </w:trPr>
        <w:tc>
          <w:tcPr>
            <w:tcW w:w="1757" w:type="dxa"/>
            <w:tcBorders>
              <w:left w:val="nil"/>
              <w:right w:val="nil"/>
            </w:tcBorders>
            <w:shd w:val="clear" w:color="auto" w:fill="D3DFEE"/>
          </w:tcPr>
          <w:p w:rsidR="002879D7" w:rsidRDefault="00413AE3" w:rsidP="00FC0A7C">
            <w:pPr>
              <w:spacing w:after="0" w:line="240" w:lineRule="auto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>P</w:t>
            </w:r>
            <w:r w:rsidR="002879D7">
              <w:rPr>
                <w:b/>
                <w:bCs/>
                <w:color w:val="365F91"/>
              </w:rPr>
              <w:t>harmacognosie</w:t>
            </w: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b/>
                <w:bCs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11FCF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FE124B" w:rsidRDefault="002879D7" w:rsidP="00FC0A7C">
            <w:pPr>
              <w:spacing w:after="0" w:line="240" w:lineRule="auto"/>
              <w:jc w:val="center"/>
              <w:rPr>
                <w:b/>
                <w:color w:val="365F91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  <w:r>
              <w:rPr>
                <w:color w:val="365F91"/>
              </w:rPr>
              <w:t>9 h</w:t>
            </w:r>
          </w:p>
        </w:tc>
        <w:tc>
          <w:tcPr>
            <w:tcW w:w="1025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  <w:tc>
          <w:tcPr>
            <w:tcW w:w="618" w:type="dxa"/>
            <w:tcBorders>
              <w:left w:val="nil"/>
              <w:right w:val="nil"/>
            </w:tcBorders>
            <w:shd w:val="clear" w:color="auto" w:fill="D3DFEE"/>
            <w:vAlign w:val="center"/>
          </w:tcPr>
          <w:p w:rsidR="002879D7" w:rsidRPr="000F5B11" w:rsidRDefault="002879D7" w:rsidP="00FC0A7C">
            <w:pPr>
              <w:spacing w:after="0" w:line="240" w:lineRule="auto"/>
              <w:jc w:val="center"/>
              <w:rPr>
                <w:color w:val="365F91"/>
              </w:rPr>
            </w:pPr>
          </w:p>
        </w:tc>
      </w:tr>
    </w:tbl>
    <w:p w:rsidR="00590D1E" w:rsidRDefault="00590D1E" w:rsidP="00FA5DB4">
      <w:pPr>
        <w:spacing w:before="24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Objectifs pédagogiques</w:t>
      </w:r>
      <w:r w:rsidR="00691FFE" w:rsidRPr="00691FFE">
        <w:rPr>
          <w:b/>
          <w:sz w:val="24"/>
          <w:szCs w:val="24"/>
        </w:rPr>
        <w:t> :</w:t>
      </w:r>
    </w:p>
    <w:p w:rsidR="002D2149" w:rsidRPr="00A66FAA" w:rsidRDefault="003E287F" w:rsidP="002D2149">
      <w:pPr>
        <w:jc w:val="both"/>
        <w:rPr>
          <w:szCs w:val="24"/>
        </w:rPr>
      </w:pPr>
      <w:r w:rsidRPr="00A66FAA">
        <w:rPr>
          <w:szCs w:val="24"/>
        </w:rPr>
        <w:t>Savoir extraire, s</w:t>
      </w:r>
      <w:r w:rsidR="002D2149" w:rsidRPr="00A66FAA">
        <w:rPr>
          <w:szCs w:val="24"/>
        </w:rPr>
        <w:t>ynthétiser</w:t>
      </w:r>
      <w:r w:rsidRPr="00A66FAA">
        <w:rPr>
          <w:szCs w:val="24"/>
        </w:rPr>
        <w:t>, purifier</w:t>
      </w:r>
      <w:r w:rsidR="002D2149" w:rsidRPr="00A66FAA">
        <w:rPr>
          <w:szCs w:val="24"/>
        </w:rPr>
        <w:t xml:space="preserve"> un principe actif</w:t>
      </w:r>
      <w:r w:rsidRPr="00A66FAA">
        <w:rPr>
          <w:szCs w:val="24"/>
        </w:rPr>
        <w:t xml:space="preserve"> </w:t>
      </w:r>
      <w:r w:rsidR="002D2149" w:rsidRPr="00A66FAA">
        <w:rPr>
          <w:szCs w:val="24"/>
        </w:rPr>
        <w:t>; savoir l’identifier puis apprécier sa pureté de façon qualitative et quantitative d’après les critères définis dans des monographies de la Pharmacopée Européenne.</w:t>
      </w:r>
      <w:r w:rsidRPr="00A66FAA">
        <w:rPr>
          <w:szCs w:val="24"/>
        </w:rPr>
        <w:t xml:space="preserve"> Savoir contrôler une matière première </w:t>
      </w:r>
      <w:r w:rsidR="00A66FAA">
        <w:rPr>
          <w:szCs w:val="24"/>
        </w:rPr>
        <w:t xml:space="preserve">d'origine </w:t>
      </w:r>
      <w:r w:rsidRPr="00A66FAA">
        <w:rPr>
          <w:szCs w:val="24"/>
        </w:rPr>
        <w:t>naturelle selon la Pharmacopée.</w:t>
      </w:r>
    </w:p>
    <w:p w:rsidR="00590D1E" w:rsidRPr="00A66FAA" w:rsidRDefault="00590D1E">
      <w:pPr>
        <w:rPr>
          <w:b/>
          <w:sz w:val="24"/>
          <w:szCs w:val="24"/>
        </w:rPr>
      </w:pPr>
      <w:r w:rsidRPr="00A66FAA">
        <w:rPr>
          <w:b/>
          <w:sz w:val="24"/>
          <w:szCs w:val="24"/>
        </w:rPr>
        <w:t>Descriptifs des enseignements, des intervenants et découpage horaire</w:t>
      </w:r>
    </w:p>
    <w:p w:rsidR="00C51FB6" w:rsidRPr="00A66FAA" w:rsidRDefault="00BC13CC" w:rsidP="00647D4A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7" w:hanging="283"/>
        <w:jc w:val="both"/>
        <w:rPr>
          <w:bCs/>
        </w:rPr>
      </w:pPr>
      <w:r w:rsidRPr="00A66FAA">
        <w:rPr>
          <w:b/>
          <w:bCs/>
        </w:rPr>
        <w:t>Les méthodes chromatographiques (8 h CM; 3 h ED)</w:t>
      </w:r>
      <w:r w:rsidR="00C51FB6" w:rsidRPr="00A66FAA">
        <w:rPr>
          <w:bCs/>
        </w:rPr>
        <w:t xml:space="preserve"> </w:t>
      </w:r>
      <w:r w:rsidRPr="00A66FAA">
        <w:rPr>
          <w:bCs/>
        </w:rPr>
        <w:t xml:space="preserve">: </w:t>
      </w:r>
      <w:r w:rsidRPr="00A66FAA">
        <w:t xml:space="preserve">paramètres chromatographiques; chromatographies en phase liquide, chromatographie en phase gazeuse; optimisation en CLHP et en CPG. Appareillages utilisés. </w:t>
      </w:r>
    </w:p>
    <w:p w:rsidR="00C51FB6" w:rsidRPr="00A66FAA" w:rsidRDefault="00BC13CC" w:rsidP="00647D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b/>
          <w:bCs/>
        </w:rPr>
      </w:pPr>
      <w:r w:rsidRPr="00A66FAA">
        <w:rPr>
          <w:b/>
          <w:bCs/>
        </w:rPr>
        <w:t xml:space="preserve">Les méthodes spectroscopiques </w:t>
      </w:r>
      <w:r w:rsidR="00C51FB6" w:rsidRPr="00A66FAA">
        <w:rPr>
          <w:b/>
          <w:bCs/>
        </w:rPr>
        <w:t>(4 h</w:t>
      </w:r>
      <w:r w:rsidR="001A01F4" w:rsidRPr="00A66FAA">
        <w:rPr>
          <w:b/>
          <w:bCs/>
        </w:rPr>
        <w:t xml:space="preserve"> CM; 1,5h ED</w:t>
      </w:r>
      <w:r w:rsidR="00C51FB6" w:rsidRPr="00A66FAA">
        <w:rPr>
          <w:b/>
          <w:bCs/>
        </w:rPr>
        <w:t>)</w:t>
      </w:r>
      <w:r w:rsidR="00C51FB6" w:rsidRPr="00A66FAA">
        <w:rPr>
          <w:bCs/>
        </w:rPr>
        <w:t xml:space="preserve"> : </w:t>
      </w:r>
      <w:r w:rsidRPr="00A66FAA">
        <w:t>introduction à la spectroscopie atomique; spectroscopie d'absorption atomique : SAA, spectroscopie d'émission atomique; spectrométrie de masse</w:t>
      </w:r>
      <w:r w:rsidR="00A66FAA">
        <w:t>, fluorescence</w:t>
      </w:r>
      <w:r w:rsidRPr="00A66FAA">
        <w:t>.</w:t>
      </w:r>
    </w:p>
    <w:p w:rsidR="00C51FB6" w:rsidRPr="00A66FAA" w:rsidRDefault="00BC13CC" w:rsidP="00647D4A">
      <w:pPr>
        <w:numPr>
          <w:ilvl w:val="0"/>
          <w:numId w:val="1"/>
        </w:numPr>
        <w:tabs>
          <w:tab w:val="clear" w:pos="720"/>
          <w:tab w:val="num" w:pos="567"/>
        </w:tabs>
        <w:ind w:left="567" w:hanging="283"/>
        <w:jc w:val="both"/>
        <w:rPr>
          <w:bCs/>
        </w:rPr>
      </w:pPr>
      <w:r w:rsidRPr="00A66FAA">
        <w:rPr>
          <w:b/>
          <w:bCs/>
        </w:rPr>
        <w:t>Traitements des données</w:t>
      </w:r>
      <w:r w:rsidR="00647D4A" w:rsidRPr="00A66FAA">
        <w:rPr>
          <w:b/>
          <w:bCs/>
        </w:rPr>
        <w:t>, qualification</w:t>
      </w:r>
      <w:r w:rsidRPr="00A66FAA">
        <w:rPr>
          <w:b/>
          <w:bCs/>
        </w:rPr>
        <w:t xml:space="preserve"> et validation des méthodes analytiques</w:t>
      </w:r>
      <w:r w:rsidR="00C51FB6" w:rsidRPr="00A66FAA">
        <w:rPr>
          <w:b/>
          <w:bCs/>
        </w:rPr>
        <w:t xml:space="preserve"> (</w:t>
      </w:r>
      <w:r w:rsidRPr="00A66FAA">
        <w:rPr>
          <w:b/>
          <w:bCs/>
        </w:rPr>
        <w:t>3</w:t>
      </w:r>
      <w:r w:rsidR="00C51FB6" w:rsidRPr="00A66FAA">
        <w:rPr>
          <w:b/>
          <w:bCs/>
        </w:rPr>
        <w:t xml:space="preserve"> h</w:t>
      </w:r>
      <w:r w:rsidR="001A01F4" w:rsidRPr="00A66FAA">
        <w:rPr>
          <w:b/>
          <w:bCs/>
        </w:rPr>
        <w:t xml:space="preserve"> CM; </w:t>
      </w:r>
      <w:r w:rsidR="00647D4A" w:rsidRPr="00A66FAA">
        <w:rPr>
          <w:b/>
          <w:bCs/>
        </w:rPr>
        <w:t>3</w:t>
      </w:r>
      <w:r w:rsidRPr="00A66FAA">
        <w:rPr>
          <w:b/>
          <w:bCs/>
        </w:rPr>
        <w:t xml:space="preserve"> h</w:t>
      </w:r>
      <w:r w:rsidR="001A01F4" w:rsidRPr="00A66FAA">
        <w:rPr>
          <w:b/>
          <w:bCs/>
        </w:rPr>
        <w:t xml:space="preserve"> ED</w:t>
      </w:r>
      <w:r w:rsidRPr="00A66FAA">
        <w:rPr>
          <w:b/>
          <w:bCs/>
        </w:rPr>
        <w:t xml:space="preserve">; </w:t>
      </w:r>
      <w:r w:rsidR="00647D4A" w:rsidRPr="00A66FAA">
        <w:rPr>
          <w:b/>
          <w:bCs/>
        </w:rPr>
        <w:t>8</w:t>
      </w:r>
      <w:r w:rsidRPr="00A66FAA">
        <w:rPr>
          <w:b/>
          <w:bCs/>
        </w:rPr>
        <w:t xml:space="preserve"> h TP</w:t>
      </w:r>
      <w:r w:rsidR="00647D4A" w:rsidRPr="00A66FAA">
        <w:rPr>
          <w:b/>
          <w:bCs/>
        </w:rPr>
        <w:t>)</w:t>
      </w:r>
      <w:r w:rsidR="00CA5437" w:rsidRPr="00A66FAA">
        <w:rPr>
          <w:bCs/>
        </w:rPr>
        <w:t xml:space="preserve"> : </w:t>
      </w:r>
      <w:r w:rsidR="00CA5437" w:rsidRPr="00A66FAA">
        <w:rPr>
          <w:szCs w:val="24"/>
        </w:rPr>
        <w:t xml:space="preserve">qualification d'un appareil de mesure; </w:t>
      </w:r>
      <w:r w:rsidR="00CA5437" w:rsidRPr="00A66FAA">
        <w:rPr>
          <w:bCs/>
          <w:sz w:val="20"/>
        </w:rPr>
        <w:t xml:space="preserve"> </w:t>
      </w:r>
      <w:r w:rsidR="00CA5437" w:rsidRPr="00A66FAA">
        <w:t xml:space="preserve">validation d'une méthode de dosage; choix d'une méthode d'étalonnage. </w:t>
      </w:r>
    </w:p>
    <w:p w:rsidR="00647D4A" w:rsidRPr="00A66FAA" w:rsidRDefault="00647D4A" w:rsidP="00B432B9">
      <w:pPr>
        <w:numPr>
          <w:ilvl w:val="0"/>
          <w:numId w:val="1"/>
        </w:numPr>
        <w:tabs>
          <w:tab w:val="clear" w:pos="720"/>
          <w:tab w:val="num" w:pos="567"/>
        </w:tabs>
        <w:spacing w:after="120"/>
        <w:ind w:left="568" w:hanging="284"/>
        <w:jc w:val="both"/>
        <w:rPr>
          <w:bCs/>
        </w:rPr>
      </w:pPr>
      <w:r w:rsidRPr="00A66FAA">
        <w:rPr>
          <w:b/>
          <w:bCs/>
        </w:rPr>
        <w:t>Obtention de principes actifs de synthèse ou d'origine naturelle et contrôle</w:t>
      </w:r>
      <w:r w:rsidR="00CA5437" w:rsidRPr="00A66FAA">
        <w:rPr>
          <w:b/>
          <w:bCs/>
        </w:rPr>
        <w:t>s</w:t>
      </w:r>
      <w:r w:rsidRPr="00A66FAA">
        <w:rPr>
          <w:b/>
          <w:bCs/>
        </w:rPr>
        <w:t xml:space="preserve"> </w:t>
      </w:r>
      <w:r w:rsidR="00CA5437" w:rsidRPr="00A66FAA">
        <w:rPr>
          <w:b/>
          <w:bCs/>
        </w:rPr>
        <w:t>Pharmacopée</w:t>
      </w:r>
      <w:r w:rsidR="00B432B9" w:rsidRPr="00A66FAA">
        <w:rPr>
          <w:b/>
          <w:bCs/>
        </w:rPr>
        <w:t xml:space="preserve"> </w:t>
      </w:r>
      <w:r w:rsidRPr="00A66FAA">
        <w:rPr>
          <w:b/>
          <w:bCs/>
        </w:rPr>
        <w:t xml:space="preserve">des </w:t>
      </w:r>
      <w:r w:rsidR="003E287F" w:rsidRPr="00A66FAA">
        <w:rPr>
          <w:b/>
          <w:bCs/>
        </w:rPr>
        <w:t xml:space="preserve">matières premières et </w:t>
      </w:r>
      <w:r w:rsidRPr="00A66FAA">
        <w:rPr>
          <w:b/>
          <w:bCs/>
        </w:rPr>
        <w:t>principes actifs obtenus (</w:t>
      </w:r>
      <w:r w:rsidR="00B432B9" w:rsidRPr="00A66FAA">
        <w:rPr>
          <w:b/>
          <w:bCs/>
        </w:rPr>
        <w:t>60 h TP).</w:t>
      </w:r>
    </w:p>
    <w:p w:rsidR="00B432B9" w:rsidRPr="00155CF7" w:rsidRDefault="00B432B9" w:rsidP="00B432B9">
      <w:pPr>
        <w:numPr>
          <w:ilvl w:val="1"/>
          <w:numId w:val="1"/>
        </w:numPr>
        <w:tabs>
          <w:tab w:val="clear" w:pos="1440"/>
          <w:tab w:val="num" w:pos="993"/>
        </w:tabs>
        <w:spacing w:after="60"/>
        <w:ind w:left="992" w:hanging="357"/>
        <w:rPr>
          <w:b/>
          <w:bCs/>
        </w:rPr>
      </w:pPr>
      <w:r w:rsidRPr="00A66FAA">
        <w:rPr>
          <w:b/>
          <w:bCs/>
        </w:rPr>
        <w:t>Synthèse de principes actifs (27 h)</w:t>
      </w:r>
      <w:r w:rsidR="00CA5437" w:rsidRPr="00A66FAA">
        <w:rPr>
          <w:b/>
          <w:bCs/>
        </w:rPr>
        <w:t xml:space="preserve"> : </w:t>
      </w:r>
      <w:r w:rsidR="00CA5437" w:rsidRPr="00A66FAA">
        <w:rPr>
          <w:i/>
        </w:rPr>
        <w:t>8 séances + 1 examen pratique</w:t>
      </w:r>
      <w:r w:rsidR="00A66FAA">
        <w:t xml:space="preserve"> (C. LOGE, M.A. BAZIN)</w:t>
      </w:r>
    </w:p>
    <w:p w:rsidR="00155CF7" w:rsidRDefault="00155CF7" w:rsidP="00155CF7">
      <w:pPr>
        <w:numPr>
          <w:ilvl w:val="4"/>
          <w:numId w:val="1"/>
        </w:numPr>
        <w:spacing w:after="0" w:line="240" w:lineRule="auto"/>
        <w:ind w:left="1134" w:hanging="141"/>
        <w:jc w:val="both"/>
      </w:pPr>
      <w:r>
        <w:t>Synthèse, purification et</w:t>
      </w:r>
      <w:r w:rsidRPr="00A66FAA">
        <w:t xml:space="preserve"> </w:t>
      </w:r>
      <w:r w:rsidR="00251D60">
        <w:t>analyses</w:t>
      </w:r>
      <w:r w:rsidRPr="00A66FAA">
        <w:t xml:space="preserve"> structurale</w:t>
      </w:r>
      <w:r>
        <w:t>s</w:t>
      </w:r>
      <w:r w:rsidRPr="00A66FAA">
        <w:t xml:space="preserve"> </w:t>
      </w:r>
      <w:r w:rsidR="00251D60">
        <w:t>(</w:t>
      </w:r>
      <w:r>
        <w:t xml:space="preserve">RMN </w:t>
      </w:r>
      <w:r w:rsidRPr="00155CF7">
        <w:rPr>
          <w:vertAlign w:val="superscript"/>
        </w:rPr>
        <w:t>1</w:t>
      </w:r>
      <w:r w:rsidRPr="00155CF7">
        <w:t>H</w:t>
      </w:r>
      <w:r>
        <w:t>, IR</w:t>
      </w:r>
      <w:r w:rsidR="00251D60">
        <w:t>)</w:t>
      </w:r>
      <w:r>
        <w:t xml:space="preserve"> de principes actifs.</w:t>
      </w:r>
    </w:p>
    <w:p w:rsidR="00155CF7" w:rsidRDefault="00155CF7" w:rsidP="00155CF7">
      <w:pPr>
        <w:numPr>
          <w:ilvl w:val="4"/>
          <w:numId w:val="1"/>
        </w:numPr>
        <w:spacing w:after="0" w:line="240" w:lineRule="auto"/>
        <w:ind w:left="1134" w:hanging="141"/>
        <w:jc w:val="both"/>
      </w:pPr>
      <w:r w:rsidRPr="00A66FAA">
        <w:lastRenderedPageBreak/>
        <w:t>Contrôles Pharmacopée</w:t>
      </w:r>
      <w:r>
        <w:t xml:space="preserve"> (caractérisation)</w:t>
      </w:r>
    </w:p>
    <w:p w:rsidR="00251D60" w:rsidRPr="00A66FAA" w:rsidRDefault="00251D60" w:rsidP="00251D60">
      <w:pPr>
        <w:spacing w:after="0" w:line="240" w:lineRule="auto"/>
        <w:ind w:left="1134"/>
        <w:jc w:val="both"/>
      </w:pPr>
    </w:p>
    <w:p w:rsidR="002D2149" w:rsidRPr="00A66FAA" w:rsidRDefault="002D2149" w:rsidP="00B432B9">
      <w:pPr>
        <w:numPr>
          <w:ilvl w:val="1"/>
          <w:numId w:val="1"/>
        </w:numPr>
        <w:tabs>
          <w:tab w:val="clear" w:pos="1440"/>
          <w:tab w:val="num" w:pos="993"/>
        </w:tabs>
        <w:spacing w:after="60"/>
        <w:ind w:left="992" w:hanging="357"/>
        <w:rPr>
          <w:b/>
          <w:bCs/>
        </w:rPr>
      </w:pPr>
      <w:r w:rsidRPr="00A66FAA">
        <w:rPr>
          <w:b/>
          <w:bCs/>
        </w:rPr>
        <w:t>Extraction de principes actifs (9 h)</w:t>
      </w:r>
      <w:r w:rsidR="00CA5437" w:rsidRPr="00A66FAA">
        <w:rPr>
          <w:b/>
          <w:bCs/>
        </w:rPr>
        <w:t xml:space="preserve"> : </w:t>
      </w:r>
      <w:r w:rsidR="00CA5437" w:rsidRPr="00A66FAA">
        <w:rPr>
          <w:bCs/>
          <w:i/>
        </w:rPr>
        <w:t>3 séances</w:t>
      </w:r>
      <w:r w:rsidR="00A66FAA">
        <w:rPr>
          <w:bCs/>
        </w:rPr>
        <w:t xml:space="preserve"> (K. PETIT, O. GROVEL)</w:t>
      </w:r>
    </w:p>
    <w:p w:rsidR="003E287F" w:rsidRPr="00A66FAA" w:rsidRDefault="003E287F" w:rsidP="003E287F">
      <w:pPr>
        <w:numPr>
          <w:ilvl w:val="4"/>
          <w:numId w:val="1"/>
        </w:numPr>
        <w:spacing w:after="0" w:line="240" w:lineRule="auto"/>
        <w:ind w:left="1134" w:hanging="141"/>
        <w:jc w:val="both"/>
      </w:pPr>
      <w:r w:rsidRPr="00A66FAA">
        <w:t>Extraction, purification, caractérisation, identification structurale et quantification d’IPA d’origine naturelle.</w:t>
      </w:r>
    </w:p>
    <w:p w:rsidR="003E287F" w:rsidRPr="00A66FAA" w:rsidRDefault="003E287F" w:rsidP="003E287F">
      <w:pPr>
        <w:numPr>
          <w:ilvl w:val="4"/>
          <w:numId w:val="1"/>
        </w:numPr>
        <w:spacing w:after="0" w:line="240" w:lineRule="auto"/>
        <w:ind w:left="1134" w:hanging="141"/>
        <w:jc w:val="both"/>
      </w:pPr>
      <w:r w:rsidRPr="00A66FAA">
        <w:t xml:space="preserve">Contrôles Pharmacopée de la matière première. </w:t>
      </w:r>
    </w:p>
    <w:p w:rsidR="003E287F" w:rsidRPr="00A66FAA" w:rsidRDefault="003E287F" w:rsidP="003E287F">
      <w:pPr>
        <w:numPr>
          <w:ilvl w:val="4"/>
          <w:numId w:val="1"/>
        </w:numPr>
        <w:spacing w:after="0" w:line="360" w:lineRule="auto"/>
        <w:ind w:left="1134" w:hanging="141"/>
        <w:jc w:val="both"/>
      </w:pPr>
      <w:r w:rsidRPr="00A66FAA">
        <w:t>Application à des plantes à huiles essentielles et des plantes à alcaloïdes.</w:t>
      </w:r>
    </w:p>
    <w:p w:rsidR="00B432B9" w:rsidRPr="00A66FAA" w:rsidRDefault="00A66FAA" w:rsidP="00B432B9">
      <w:pPr>
        <w:numPr>
          <w:ilvl w:val="1"/>
          <w:numId w:val="1"/>
        </w:numPr>
        <w:tabs>
          <w:tab w:val="clear" w:pos="1440"/>
          <w:tab w:val="num" w:pos="993"/>
        </w:tabs>
        <w:spacing w:after="60"/>
        <w:ind w:left="992" w:hanging="357"/>
        <w:rPr>
          <w:b/>
          <w:bCs/>
        </w:rPr>
      </w:pPr>
      <w:r w:rsidRPr="00A66FAA">
        <w:rPr>
          <w:b/>
          <w:bCs/>
        </w:rPr>
        <w:t xml:space="preserve">Contrôles Pharmacopée (24 h) : </w:t>
      </w:r>
      <w:r w:rsidRPr="00A66FAA">
        <w:rPr>
          <w:bCs/>
          <w:i/>
        </w:rPr>
        <w:t>6 séances</w:t>
      </w:r>
      <w:r>
        <w:rPr>
          <w:bCs/>
        </w:rPr>
        <w:t xml:space="preserve"> (D. LE FORESTIER, </w:t>
      </w:r>
      <w:r w:rsidRPr="00A66FAA">
        <w:t>Laurence POIRIER, Aurore VERGNOUX</w:t>
      </w:r>
      <w:r>
        <w:t>, I. OURLIAC-GARNIER, A. MOSSION-COUZINET)</w:t>
      </w:r>
      <w:r w:rsidRPr="00A66FAA">
        <w:t>.</w:t>
      </w:r>
    </w:p>
    <w:p w:rsidR="00B432B9" w:rsidRPr="00A66FAA" w:rsidRDefault="00B432B9" w:rsidP="002D2149">
      <w:pPr>
        <w:spacing w:after="0" w:line="240" w:lineRule="auto"/>
        <w:ind w:left="1134" w:hanging="142"/>
      </w:pPr>
      <w:r w:rsidRPr="00A66FAA">
        <w:t xml:space="preserve">- </w:t>
      </w:r>
      <w:r w:rsidR="00CA5437" w:rsidRPr="00A66FAA">
        <w:t>I</w:t>
      </w:r>
      <w:r w:rsidRPr="00A66FAA">
        <w:t>dentification d'un PA d'origine naturelle par CPG</w:t>
      </w:r>
    </w:p>
    <w:p w:rsidR="00B432B9" w:rsidRPr="00A66FAA" w:rsidRDefault="00B432B9" w:rsidP="002D2149">
      <w:pPr>
        <w:spacing w:after="0" w:line="240" w:lineRule="auto"/>
        <w:ind w:left="1134" w:hanging="142"/>
      </w:pPr>
      <w:r w:rsidRPr="00A66FAA">
        <w:t xml:space="preserve">- </w:t>
      </w:r>
      <w:r w:rsidR="00CA5437" w:rsidRPr="00A66FAA">
        <w:t>A</w:t>
      </w:r>
      <w:r w:rsidRPr="00A66FAA">
        <w:t>nalyse des substances apparentées (CLHP)</w:t>
      </w:r>
    </w:p>
    <w:p w:rsidR="00B432B9" w:rsidRPr="00A66FAA" w:rsidRDefault="00B432B9" w:rsidP="002D2149">
      <w:pPr>
        <w:spacing w:after="0" w:line="240" w:lineRule="auto"/>
        <w:ind w:left="1134" w:hanging="142"/>
      </w:pPr>
      <w:r w:rsidRPr="00A66FAA">
        <w:t xml:space="preserve">- </w:t>
      </w:r>
      <w:r w:rsidR="00CA5437" w:rsidRPr="00A66FAA">
        <w:t>D</w:t>
      </w:r>
      <w:r w:rsidRPr="00A66FAA">
        <w:t>osage d'un principe actif par titrimétrie en milieu non aqueux</w:t>
      </w:r>
    </w:p>
    <w:p w:rsidR="00B432B9" w:rsidRPr="00A66FAA" w:rsidRDefault="00B432B9" w:rsidP="002D2149">
      <w:pPr>
        <w:spacing w:after="0" w:line="240" w:lineRule="auto"/>
        <w:ind w:left="1134" w:hanging="142"/>
      </w:pPr>
      <w:r w:rsidRPr="00A66FAA">
        <w:t xml:space="preserve">- </w:t>
      </w:r>
      <w:r w:rsidR="00CA5437" w:rsidRPr="00A66FAA">
        <w:t>E</w:t>
      </w:r>
      <w:r w:rsidRPr="00A66FAA">
        <w:t>ssais limites (Karl Fischer</w:t>
      </w:r>
      <w:r w:rsidR="00A66FAA">
        <w:t xml:space="preserve">, perte à dessiccation </w:t>
      </w:r>
      <w:r w:rsidRPr="00A66FAA">
        <w:t>...)</w:t>
      </w:r>
    </w:p>
    <w:p w:rsidR="00B432B9" w:rsidRPr="00A66FAA" w:rsidRDefault="00B432B9" w:rsidP="002D2149">
      <w:pPr>
        <w:spacing w:after="0" w:line="240" w:lineRule="auto"/>
        <w:ind w:left="1134" w:hanging="142"/>
      </w:pPr>
      <w:r w:rsidRPr="00A66FAA">
        <w:t>- Dosage des alcalins en SEA et en potentiométrie directe</w:t>
      </w:r>
    </w:p>
    <w:p w:rsidR="00B432B9" w:rsidRPr="00A66FAA" w:rsidRDefault="00B432B9" w:rsidP="002D2149">
      <w:pPr>
        <w:spacing w:after="0" w:line="240" w:lineRule="auto"/>
        <w:ind w:left="1134" w:hanging="142"/>
      </w:pPr>
      <w:r w:rsidRPr="00A66FAA">
        <w:t xml:space="preserve">- </w:t>
      </w:r>
      <w:r w:rsidR="00A66FAA">
        <w:t>Application de la fluorescence à des fins analytiques</w:t>
      </w:r>
    </w:p>
    <w:p w:rsidR="003E287F" w:rsidRPr="00A66FAA" w:rsidRDefault="003E287F" w:rsidP="00FA5DB4">
      <w:pPr>
        <w:jc w:val="both"/>
        <w:rPr>
          <w:b/>
        </w:rPr>
      </w:pPr>
    </w:p>
    <w:p w:rsidR="00CA5437" w:rsidRPr="00A66FAA" w:rsidRDefault="00CA5437" w:rsidP="00FA5DB4">
      <w:pPr>
        <w:jc w:val="both"/>
        <w:rPr>
          <w:b/>
        </w:rPr>
      </w:pPr>
      <w:r w:rsidRPr="00A66FAA">
        <w:rPr>
          <w:b/>
        </w:rPr>
        <w:t xml:space="preserve">Bilan des séances de TP : </w:t>
      </w:r>
      <w:r w:rsidRPr="00A66FAA">
        <w:t>8 séances de 4 h en chimie analytique; 8 séances de 3 h plus 1 examen en chimie thérapeutique; 3 séances de 3 h en pharmacognosie.</w:t>
      </w:r>
    </w:p>
    <w:p w:rsidR="00684B6F" w:rsidRPr="00A66FAA" w:rsidRDefault="001A01F4" w:rsidP="00FA5DB4">
      <w:pPr>
        <w:jc w:val="both"/>
      </w:pPr>
      <w:r w:rsidRPr="00A66FAA">
        <w:rPr>
          <w:b/>
        </w:rPr>
        <w:t>Intervenants :</w:t>
      </w:r>
      <w:r w:rsidRPr="00A66FAA">
        <w:t xml:space="preserve"> Christine HERRENKNECHT</w:t>
      </w:r>
      <w:r w:rsidR="00B35322" w:rsidRPr="00A66FAA">
        <w:t xml:space="preserve"> (PU)</w:t>
      </w:r>
      <w:r w:rsidRPr="00A66FAA">
        <w:t>, Dominique LE FORESTIER</w:t>
      </w:r>
      <w:r w:rsidR="00B35322" w:rsidRPr="00A66FAA">
        <w:t xml:space="preserve"> (MCU)</w:t>
      </w:r>
      <w:r w:rsidRPr="00A66FAA">
        <w:t>, Laurence POIRIER</w:t>
      </w:r>
      <w:r w:rsidR="00B35322" w:rsidRPr="00A66FAA">
        <w:t xml:space="preserve"> (MCU)</w:t>
      </w:r>
      <w:r w:rsidRPr="00A66FAA">
        <w:t>, Aurore VERGNOUX</w:t>
      </w:r>
      <w:r w:rsidR="00B35322" w:rsidRPr="00A66FAA">
        <w:t xml:space="preserve"> (MCU)</w:t>
      </w:r>
      <w:r w:rsidR="002D2149" w:rsidRPr="00A66FAA">
        <w:t>;</w:t>
      </w:r>
      <w:r w:rsidR="00A66FAA">
        <w:t xml:space="preserve"> Isabelle OURLIAC-GARNIER; Aurélie MOSSION-COUZINET;</w:t>
      </w:r>
      <w:r w:rsidR="002D2149" w:rsidRPr="00A66FAA">
        <w:t xml:space="preserve"> Cédric LOGÉ (MCU); Marc-Antoine BAZIN (MCU);Kari</w:t>
      </w:r>
      <w:r w:rsidR="00A66FAA">
        <w:t>na PETIT; Olivier GROVEL (MCU)</w:t>
      </w:r>
      <w:r w:rsidR="002D256D" w:rsidRPr="00A66FAA">
        <w:t>.</w:t>
      </w:r>
    </w:p>
    <w:p w:rsidR="00413AE3" w:rsidRPr="00A66FAA" w:rsidRDefault="00413AE3" w:rsidP="00413AE3">
      <w:pPr>
        <w:rPr>
          <w:b/>
          <w:sz w:val="24"/>
          <w:szCs w:val="24"/>
        </w:rPr>
      </w:pPr>
      <w:r w:rsidRPr="00A66FAA">
        <w:rPr>
          <w:b/>
          <w:sz w:val="24"/>
          <w:szCs w:val="24"/>
        </w:rPr>
        <w:t>Modalités d’évaluation :</w:t>
      </w:r>
    </w:p>
    <w:p w:rsidR="00CA5437" w:rsidRPr="00A66FAA" w:rsidRDefault="00CA5437" w:rsidP="00FC0A7C">
      <w:pPr>
        <w:spacing w:after="120"/>
      </w:pPr>
      <w:r w:rsidRPr="00A66FAA">
        <w:t>- Contrôle continu et examen de 1h30 pour la partie théorique.</w:t>
      </w:r>
    </w:p>
    <w:p w:rsidR="00413AE3" w:rsidRPr="00A66FAA" w:rsidRDefault="00CA5437" w:rsidP="00413AE3">
      <w:pPr>
        <w:rPr>
          <w:szCs w:val="24"/>
        </w:rPr>
      </w:pPr>
      <w:r w:rsidRPr="00A66FAA">
        <w:rPr>
          <w:szCs w:val="24"/>
        </w:rPr>
        <w:t xml:space="preserve">- </w:t>
      </w:r>
      <w:r w:rsidR="00413AE3" w:rsidRPr="00A66FAA">
        <w:rPr>
          <w:szCs w:val="24"/>
        </w:rPr>
        <w:t>Contrôle continu + 1 séance d’examen</w:t>
      </w:r>
      <w:r w:rsidRPr="00A66FAA">
        <w:rPr>
          <w:szCs w:val="24"/>
        </w:rPr>
        <w:t xml:space="preserve"> pour la partie pratique.</w:t>
      </w:r>
    </w:p>
    <w:p w:rsidR="00413AE3" w:rsidRPr="00A66FAA" w:rsidRDefault="00413AE3" w:rsidP="00413AE3">
      <w:pPr>
        <w:rPr>
          <w:b/>
          <w:sz w:val="24"/>
          <w:szCs w:val="24"/>
        </w:rPr>
      </w:pPr>
      <w:r w:rsidRPr="00A66FAA">
        <w:rPr>
          <w:b/>
          <w:sz w:val="24"/>
          <w:szCs w:val="24"/>
        </w:rPr>
        <w:t xml:space="preserve">Pré-requis : </w:t>
      </w:r>
    </w:p>
    <w:p w:rsidR="00FC0A7C" w:rsidRPr="00A66FAA" w:rsidRDefault="00FC0A7C" w:rsidP="00B24096">
      <w:pPr>
        <w:spacing w:after="120"/>
        <w:jc w:val="both"/>
        <w:rPr>
          <w:szCs w:val="24"/>
        </w:rPr>
      </w:pPr>
      <w:r w:rsidRPr="00A66FAA">
        <w:rPr>
          <w:szCs w:val="24"/>
        </w:rPr>
        <w:t>- Cours de chimie organique, pharmacognosie et chimie minérale, générale et analytique de 1</w:t>
      </w:r>
      <w:r w:rsidRPr="00A66FAA">
        <w:rPr>
          <w:szCs w:val="24"/>
          <w:vertAlign w:val="superscript"/>
        </w:rPr>
        <w:t>ère</w:t>
      </w:r>
      <w:r w:rsidRPr="00A66FAA">
        <w:rPr>
          <w:szCs w:val="24"/>
        </w:rPr>
        <w:t xml:space="preserve"> </w:t>
      </w:r>
      <w:r w:rsidR="00B24096">
        <w:rPr>
          <w:szCs w:val="24"/>
        </w:rPr>
        <w:t xml:space="preserve">année Santé (PACES) </w:t>
      </w:r>
      <w:r w:rsidRPr="00A66FAA">
        <w:rPr>
          <w:szCs w:val="24"/>
        </w:rPr>
        <w:t xml:space="preserve">et </w:t>
      </w:r>
      <w:r w:rsidR="00B24096">
        <w:rPr>
          <w:szCs w:val="24"/>
        </w:rPr>
        <w:t>de L2 Pharmacie</w:t>
      </w:r>
      <w:r w:rsidRPr="00A66FAA">
        <w:rPr>
          <w:szCs w:val="24"/>
        </w:rPr>
        <w:t>.</w:t>
      </w:r>
    </w:p>
    <w:p w:rsidR="00FC0A7C" w:rsidRPr="00A66FAA" w:rsidRDefault="00FC0A7C" w:rsidP="00B24096">
      <w:pPr>
        <w:spacing w:after="120"/>
        <w:jc w:val="both"/>
        <w:rPr>
          <w:szCs w:val="24"/>
        </w:rPr>
      </w:pPr>
      <w:r w:rsidRPr="00A66FAA">
        <w:rPr>
          <w:szCs w:val="24"/>
        </w:rPr>
        <w:t xml:space="preserve">- </w:t>
      </w:r>
      <w:r w:rsidR="00413AE3" w:rsidRPr="00A66FAA">
        <w:rPr>
          <w:szCs w:val="24"/>
        </w:rPr>
        <w:t xml:space="preserve">TP </w:t>
      </w:r>
      <w:r w:rsidR="00B24096">
        <w:rPr>
          <w:szCs w:val="24"/>
        </w:rPr>
        <w:t>L2 Pharmacie</w:t>
      </w:r>
      <w:r w:rsidR="00413AE3" w:rsidRPr="00A66FAA">
        <w:rPr>
          <w:szCs w:val="24"/>
        </w:rPr>
        <w:t xml:space="preserve"> (</w:t>
      </w:r>
      <w:r w:rsidR="00B24096">
        <w:rPr>
          <w:szCs w:val="24"/>
        </w:rPr>
        <w:t xml:space="preserve">gestes de base, </w:t>
      </w:r>
      <w:r w:rsidR="00413AE3" w:rsidRPr="00A66FAA">
        <w:rPr>
          <w:szCs w:val="24"/>
        </w:rPr>
        <w:t>synthèse organique et principes actifs</w:t>
      </w:r>
      <w:r w:rsidR="00CA5437" w:rsidRPr="00A66FAA">
        <w:rPr>
          <w:szCs w:val="24"/>
        </w:rPr>
        <w:t>; pharmacognosie et chimie analytique</w:t>
      </w:r>
      <w:r w:rsidR="00413AE3" w:rsidRPr="00A66FAA">
        <w:rPr>
          <w:szCs w:val="24"/>
        </w:rPr>
        <w:t>)</w:t>
      </w:r>
    </w:p>
    <w:p w:rsidR="003E287F" w:rsidRPr="001F1C40" w:rsidRDefault="003E287F" w:rsidP="00B24096">
      <w:pPr>
        <w:spacing w:after="120"/>
        <w:rPr>
          <w:sz w:val="24"/>
          <w:szCs w:val="24"/>
        </w:rPr>
      </w:pPr>
      <w:r w:rsidRPr="00A66FAA">
        <w:rPr>
          <w:sz w:val="24"/>
          <w:szCs w:val="24"/>
        </w:rPr>
        <w:t>- UE Obtention des substances actives I, II et III (UE S3-5, S3-6 et S5-2)</w:t>
      </w:r>
    </w:p>
    <w:p w:rsidR="00FC0A7C" w:rsidRPr="00CA5437" w:rsidRDefault="00FC0A7C">
      <w:pPr>
        <w:jc w:val="both"/>
        <w:rPr>
          <w:szCs w:val="24"/>
        </w:rPr>
      </w:pPr>
    </w:p>
    <w:sectPr w:rsidR="00FC0A7C" w:rsidRPr="00CA5437" w:rsidSect="00021E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658" w:rsidRDefault="000C2658" w:rsidP="00732645">
      <w:pPr>
        <w:spacing w:after="0" w:line="240" w:lineRule="auto"/>
      </w:pPr>
      <w:r>
        <w:separator/>
      </w:r>
    </w:p>
  </w:endnote>
  <w:endnote w:type="continuationSeparator" w:id="0">
    <w:p w:rsidR="000C2658" w:rsidRDefault="000C2658" w:rsidP="00732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645" w:rsidRDefault="00732645">
    <w:pPr>
      <w:pStyle w:val="Pieddepage"/>
    </w:pPr>
    <w:r>
      <w:t>02/05/2012</w:t>
    </w:r>
  </w:p>
  <w:p w:rsidR="00732645" w:rsidRDefault="007326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658" w:rsidRDefault="000C2658" w:rsidP="00732645">
      <w:pPr>
        <w:spacing w:after="0" w:line="240" w:lineRule="auto"/>
      </w:pPr>
      <w:r>
        <w:separator/>
      </w:r>
    </w:p>
  </w:footnote>
  <w:footnote w:type="continuationSeparator" w:id="0">
    <w:p w:rsidR="000C2658" w:rsidRDefault="000C2658" w:rsidP="00732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80" w:rsidRDefault="00060E80" w:rsidP="007916A2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2.35pt;margin-top:14.2pt;width:60.8pt;height:27.6pt;z-index:251661312" stroked="f">
          <v:textbox>
            <w:txbxContent>
              <w:p w:rsidR="00060E80" w:rsidRPr="004C5115" w:rsidRDefault="00060E80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2049" type="#_x0000_t202" style="position:absolute;margin-left:303.15pt;margin-top:1.8pt;width:88.8pt;height:40pt;z-index:251660288" stroked="f">
          <v:textbox>
            <w:txbxContent>
              <w:p w:rsidR="00060E80" w:rsidRPr="007916A2" w:rsidRDefault="00060E80">
                <w:pPr>
                  <w:rPr>
                    <w:color w:val="17365D" w:themeColor="text2" w:themeShade="BF"/>
                    <w:sz w:val="18"/>
                  </w:rPr>
                </w:pPr>
                <w:r w:rsidRPr="007916A2">
                  <w:rPr>
                    <w:rFonts w:ascii="Arial" w:hAnsi="Arial" w:cs="Arial"/>
                    <w:noProof/>
                    <w:color w:val="17365D" w:themeColor="text2" w:themeShade="BF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>
      <w:rPr>
        <w:noProof/>
        <w:lang w:eastAsia="fr-FR"/>
      </w:rPr>
      <w:drawing>
        <wp:inline distT="0" distB="0" distL="0" distR="0">
          <wp:extent cx="1017852" cy="552450"/>
          <wp:effectExtent l="19050" t="0" r="0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1quadri_larg10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8450" cy="55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>
      <w:rPr>
        <w:noProof/>
        <w:lang w:eastAsia="fr-FR"/>
      </w:rPr>
      <w:drawing>
        <wp:inline distT="0" distB="0" distL="0" distR="0">
          <wp:extent cx="450056" cy="571500"/>
          <wp:effectExtent l="19050" t="0" r="7144" b="0"/>
          <wp:docPr id="5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harma-1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50056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32645" w:rsidRDefault="00732645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73B0"/>
    <w:multiLevelType w:val="hybridMultilevel"/>
    <w:tmpl w:val="326250A0"/>
    <w:lvl w:ilvl="0" w:tplc="FFDC2B0E">
      <w:start w:val="900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Calibri" w:eastAsia="Calibri" w:hAnsi="Calibri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13E91450"/>
    <w:multiLevelType w:val="hybridMultilevel"/>
    <w:tmpl w:val="3782FBE2"/>
    <w:lvl w:ilvl="0" w:tplc="883A95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aps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1E23DA">
      <w:start w:val="1"/>
      <w:numFmt w:val="decimal"/>
      <w:lvlText w:val="%4."/>
      <w:lvlJc w:val="left"/>
      <w:pPr>
        <w:tabs>
          <w:tab w:val="num" w:pos="3240"/>
        </w:tabs>
        <w:ind w:left="2880" w:hanging="360"/>
      </w:pPr>
      <w:rPr>
        <w:rFonts w:hint="default"/>
        <w:b/>
        <w:i w:val="0"/>
        <w:caps/>
        <w:color w:val="000000"/>
        <w:sz w:val="24"/>
      </w:rPr>
    </w:lvl>
    <w:lvl w:ilvl="4" w:tplc="93EAF038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60E80"/>
    <w:rsid w:val="00072011"/>
    <w:rsid w:val="000C2658"/>
    <w:rsid w:val="000C329B"/>
    <w:rsid w:val="000E4ED8"/>
    <w:rsid w:val="000F2441"/>
    <w:rsid w:val="000F5B11"/>
    <w:rsid w:val="00155CF7"/>
    <w:rsid w:val="00165E96"/>
    <w:rsid w:val="001A01F4"/>
    <w:rsid w:val="00251D60"/>
    <w:rsid w:val="002879D7"/>
    <w:rsid w:val="002D2149"/>
    <w:rsid w:val="002D256D"/>
    <w:rsid w:val="002F03C1"/>
    <w:rsid w:val="002F1BFD"/>
    <w:rsid w:val="002F4F4B"/>
    <w:rsid w:val="00314CB1"/>
    <w:rsid w:val="003E287F"/>
    <w:rsid w:val="00413AE3"/>
    <w:rsid w:val="004C16FA"/>
    <w:rsid w:val="004E01B1"/>
    <w:rsid w:val="00567074"/>
    <w:rsid w:val="00590D1E"/>
    <w:rsid w:val="00647D4A"/>
    <w:rsid w:val="00684B6F"/>
    <w:rsid w:val="00691FFE"/>
    <w:rsid w:val="00703D09"/>
    <w:rsid w:val="00732645"/>
    <w:rsid w:val="00737166"/>
    <w:rsid w:val="007C6C74"/>
    <w:rsid w:val="0082400B"/>
    <w:rsid w:val="008954BF"/>
    <w:rsid w:val="00904C1C"/>
    <w:rsid w:val="00A66FAA"/>
    <w:rsid w:val="00AA07E9"/>
    <w:rsid w:val="00B24096"/>
    <w:rsid w:val="00B35322"/>
    <w:rsid w:val="00B432B9"/>
    <w:rsid w:val="00B716CD"/>
    <w:rsid w:val="00BC13CC"/>
    <w:rsid w:val="00C51FB6"/>
    <w:rsid w:val="00CA5437"/>
    <w:rsid w:val="00D3194B"/>
    <w:rsid w:val="00D51023"/>
    <w:rsid w:val="00D60AE6"/>
    <w:rsid w:val="00E615A4"/>
    <w:rsid w:val="00EE0243"/>
    <w:rsid w:val="00FA5DB4"/>
    <w:rsid w:val="00FC0A7C"/>
    <w:rsid w:val="00FD0215"/>
    <w:rsid w:val="00FE1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73264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32645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3264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32645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60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0E8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3DE9B-0F45-4883-BB59-475A5755B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grovel</dc:creator>
  <cp:keywords/>
  <cp:lastModifiedBy> </cp:lastModifiedBy>
  <cp:revision>3</cp:revision>
  <cp:lastPrinted>2011-02-28T13:07:00Z</cp:lastPrinted>
  <dcterms:created xsi:type="dcterms:W3CDTF">2013-01-21T10:29:00Z</dcterms:created>
  <dcterms:modified xsi:type="dcterms:W3CDTF">2013-01-21T10:30:00Z</dcterms:modified>
</cp:coreProperties>
</file>