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5C" w:rsidRDefault="0050115C">
      <w:pPr>
        <w:rPr>
          <w:b/>
          <w:sz w:val="36"/>
          <w:szCs w:val="36"/>
        </w:rPr>
      </w:pPr>
      <w:r>
        <w:rPr>
          <w:b/>
          <w:sz w:val="36"/>
          <w:szCs w:val="36"/>
        </w:rPr>
        <w:t>UEF 1  Apprentissages de base pharmaceutique</w:t>
      </w:r>
      <w:r w:rsidRPr="0050115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691FFE">
        <w:rPr>
          <w:sz w:val="36"/>
          <w:szCs w:val="36"/>
        </w:rPr>
        <w:t>N°</w:t>
      </w:r>
      <w:r>
        <w:rPr>
          <w:sz w:val="36"/>
          <w:szCs w:val="36"/>
        </w:rPr>
        <w:t xml:space="preserve"> LS3</w:t>
      </w:r>
    </w:p>
    <w:p w:rsidR="00AA07E9" w:rsidRPr="0050115C" w:rsidRDefault="00590D1E" w:rsidP="0050115C">
      <w:pPr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</w:t>
      </w:r>
      <w:r w:rsidR="0050115C">
        <w:rPr>
          <w:b/>
          <w:sz w:val="36"/>
          <w:szCs w:val="36"/>
        </w:rPr>
        <w:t>C 1-1</w:t>
      </w:r>
      <w:r w:rsidRPr="00691FFE">
        <w:tab/>
      </w:r>
      <w:r w:rsidR="00104E2F" w:rsidRPr="00104E2F">
        <w:rPr>
          <w:rFonts w:ascii="Arial" w:hAnsi="Arial" w:cs="Arial"/>
          <w:b/>
          <w:sz w:val="28"/>
          <w:szCs w:val="28"/>
        </w:rPr>
        <w:t>Apprentissage des techniques et gestes de base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2F03C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 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50115C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ED 3</w:t>
            </w:r>
            <w:r w:rsidR="00104E2F">
              <w:rPr>
                <w:b/>
                <w:bCs/>
                <w:color w:val="365F91"/>
              </w:rPr>
              <w:t xml:space="preserve"> </w:t>
            </w:r>
            <w:r w:rsidR="00AA07E9"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50115C" w:rsidP="00132DA0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TP 2</w:t>
            </w:r>
            <w:r w:rsidR="00132DA0">
              <w:rPr>
                <w:b/>
                <w:bCs/>
                <w:color w:val="365F91"/>
              </w:rPr>
              <w:t>5</w:t>
            </w:r>
            <w:r w:rsidR="00104E2F">
              <w:rPr>
                <w:b/>
                <w:bCs/>
                <w:color w:val="365F91"/>
              </w:rPr>
              <w:t xml:space="preserve"> </w:t>
            </w:r>
            <w:r w:rsidR="00AA07E9"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travail personnel : </w:t>
            </w:r>
            <w:r w:rsidRPr="000F5B11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0F5B11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    </w:t>
            </w:r>
            <w:r w:rsidR="00AA07E9" w:rsidRPr="000F5B11">
              <w:rPr>
                <w:b/>
                <w:bCs/>
                <w:color w:val="365F91"/>
              </w:rPr>
              <w:t xml:space="preserve">    h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0F5B11">
            <w:pPr>
              <w:spacing w:after="0" w:line="240" w:lineRule="auto"/>
              <w:rPr>
                <w:color w:val="365F91"/>
              </w:rPr>
            </w:pPr>
          </w:p>
        </w:tc>
      </w:tr>
    </w:tbl>
    <w:p w:rsidR="00C113E6" w:rsidRDefault="00C113E6">
      <w:pPr>
        <w:rPr>
          <w:b/>
          <w:sz w:val="24"/>
          <w:szCs w:val="24"/>
        </w:rPr>
      </w:pPr>
    </w:p>
    <w:p w:rsidR="00590D1E" w:rsidRPr="00282969" w:rsidRDefault="00590D1E" w:rsidP="004A3048">
      <w:pPr>
        <w:jc w:val="both"/>
        <w:rPr>
          <w:b/>
        </w:rPr>
      </w:pPr>
      <w:r w:rsidRPr="00282969">
        <w:rPr>
          <w:b/>
        </w:rPr>
        <w:t>Objectifs pédagogiques</w:t>
      </w:r>
      <w:r w:rsidR="00691FFE" w:rsidRPr="00282969">
        <w:rPr>
          <w:b/>
        </w:rPr>
        <w:t> :</w:t>
      </w:r>
    </w:p>
    <w:p w:rsidR="002F03C1" w:rsidRPr="00282969" w:rsidRDefault="00C5101E" w:rsidP="004A3048">
      <w:pPr>
        <w:jc w:val="both"/>
      </w:pPr>
      <w:r w:rsidRPr="00282969">
        <w:t>Formation de base pour l’utilisation des outils de mesure et d’observation en travaux pratiques.</w:t>
      </w:r>
    </w:p>
    <w:p w:rsidR="002F03C1" w:rsidRPr="00282969" w:rsidRDefault="00C5101E" w:rsidP="004A3048">
      <w:pPr>
        <w:jc w:val="both"/>
      </w:pPr>
      <w:r w:rsidRPr="00282969">
        <w:t>Acquisition des bases de la chromatographie et de l’</w:t>
      </w:r>
      <w:r w:rsidR="00900C0B" w:rsidRPr="00282969">
        <w:t>extraction et applications.</w:t>
      </w:r>
    </w:p>
    <w:p w:rsidR="002F03C1" w:rsidRPr="00282969" w:rsidRDefault="00C5101E" w:rsidP="004A3048">
      <w:pPr>
        <w:jc w:val="both"/>
      </w:pPr>
      <w:r w:rsidRPr="00282969">
        <w:t xml:space="preserve">Connaître et appliquer les règles d’hygiène et de sécurité </w:t>
      </w:r>
      <w:r w:rsidR="00FB6242" w:rsidRPr="00282969">
        <w:t>au</w:t>
      </w:r>
      <w:r w:rsidRPr="00282969">
        <w:t xml:space="preserve"> laboratoire.</w:t>
      </w:r>
    </w:p>
    <w:p w:rsidR="00900C0B" w:rsidRPr="00282969" w:rsidRDefault="00900C0B" w:rsidP="004A3048">
      <w:pPr>
        <w:jc w:val="both"/>
      </w:pPr>
    </w:p>
    <w:p w:rsidR="00590D1E" w:rsidRPr="00282969" w:rsidRDefault="00590D1E" w:rsidP="004A3048">
      <w:pPr>
        <w:jc w:val="both"/>
        <w:rPr>
          <w:b/>
        </w:rPr>
      </w:pPr>
      <w:r w:rsidRPr="00282969">
        <w:rPr>
          <w:b/>
        </w:rPr>
        <w:t>Descriptifs des enseignements, des intervenants et découpage horaire</w:t>
      </w:r>
    </w:p>
    <w:p w:rsidR="00684B6F" w:rsidRPr="00282969" w:rsidRDefault="00EC5F44" w:rsidP="004A3048">
      <w:pPr>
        <w:jc w:val="both"/>
        <w:rPr>
          <w:b/>
        </w:rPr>
      </w:pPr>
      <w:r w:rsidRPr="00282969">
        <w:rPr>
          <w:b/>
        </w:rPr>
        <w:t>EC371-FPI 1</w:t>
      </w:r>
      <w:r w:rsidR="00552948" w:rsidRPr="00282969">
        <w:rPr>
          <w:b/>
        </w:rPr>
        <w:t xml:space="preserve"> (1</w:t>
      </w:r>
      <w:r w:rsidR="00132DA0">
        <w:rPr>
          <w:b/>
        </w:rPr>
        <w:t>0</w:t>
      </w:r>
      <w:r w:rsidR="00552948" w:rsidRPr="00282969">
        <w:rPr>
          <w:b/>
        </w:rPr>
        <w:t>h TP</w:t>
      </w:r>
      <w:r w:rsidR="00D744CE" w:rsidRPr="00282969">
        <w:rPr>
          <w:b/>
        </w:rPr>
        <w:t xml:space="preserve"> – 4 séances</w:t>
      </w:r>
      <w:r w:rsidR="00552948" w:rsidRPr="00282969">
        <w:rPr>
          <w:b/>
        </w:rPr>
        <w:t>)</w:t>
      </w:r>
    </w:p>
    <w:p w:rsidR="002F03C1" w:rsidRPr="00282969" w:rsidRDefault="00552948" w:rsidP="004A3048">
      <w:pPr>
        <w:numPr>
          <w:ilvl w:val="0"/>
          <w:numId w:val="1"/>
        </w:numPr>
        <w:jc w:val="both"/>
      </w:pPr>
      <w:r w:rsidRPr="00282969">
        <w:t>UV-visible (</w:t>
      </w:r>
      <w:r w:rsidR="00132DA0">
        <w:t>2</w:t>
      </w:r>
      <w:r w:rsidRPr="00282969">
        <w:t>h</w:t>
      </w:r>
      <w:r w:rsidR="00132DA0">
        <w:t>30</w:t>
      </w:r>
      <w:r w:rsidRPr="00282969">
        <w:t>) : M. Bourge</w:t>
      </w:r>
      <w:r w:rsidR="00083526" w:rsidRPr="00282969">
        <w:t>o</w:t>
      </w:r>
      <w:r w:rsidRPr="00282969">
        <w:t>is, M. Mougin</w:t>
      </w:r>
      <w:r w:rsidR="007E2B76" w:rsidRPr="00282969">
        <w:t>, L. Poirier</w:t>
      </w:r>
    </w:p>
    <w:p w:rsidR="00552948" w:rsidRPr="00282969" w:rsidRDefault="00552948" w:rsidP="004A3048">
      <w:pPr>
        <w:numPr>
          <w:ilvl w:val="0"/>
          <w:numId w:val="1"/>
        </w:numPr>
        <w:jc w:val="both"/>
      </w:pPr>
      <w:r w:rsidRPr="00282969">
        <w:t>Balances-pipettes – mesure de densité (</w:t>
      </w:r>
      <w:r w:rsidR="00132DA0">
        <w:t>2</w:t>
      </w:r>
      <w:r w:rsidRPr="00282969">
        <w:t>h</w:t>
      </w:r>
      <w:r w:rsidR="00132DA0">
        <w:t>30</w:t>
      </w:r>
      <w:r w:rsidRPr="00282969">
        <w:t>)</w:t>
      </w:r>
      <w:r w:rsidR="007E2B76" w:rsidRPr="00282969">
        <w:t> : A. Couzinet, G. Collin, D. Le</w:t>
      </w:r>
      <w:r w:rsidR="00083526" w:rsidRPr="00282969">
        <w:t xml:space="preserve"> F</w:t>
      </w:r>
      <w:r w:rsidR="007E2B76" w:rsidRPr="00282969">
        <w:t>orestier, F. Nazih</w:t>
      </w:r>
    </w:p>
    <w:p w:rsidR="002F03C1" w:rsidRPr="00282969" w:rsidRDefault="00552948" w:rsidP="004A3048">
      <w:pPr>
        <w:numPr>
          <w:ilvl w:val="0"/>
          <w:numId w:val="1"/>
        </w:numPr>
        <w:jc w:val="both"/>
      </w:pPr>
      <w:r w:rsidRPr="00282969">
        <w:t>Etalonnage NaOH, dilutions, pH-métrie (</w:t>
      </w:r>
      <w:r w:rsidR="00132DA0">
        <w:t>2</w:t>
      </w:r>
      <w:r w:rsidRPr="00282969">
        <w:t>h</w:t>
      </w:r>
      <w:r w:rsidR="00132DA0">
        <w:t>30</w:t>
      </w:r>
      <w:r w:rsidRPr="00282969">
        <w:t>)</w:t>
      </w:r>
      <w:r w:rsidR="007E2B76" w:rsidRPr="00282969">
        <w:t xml:space="preserve"> : </w:t>
      </w:r>
      <w:r w:rsidR="00F30DC3" w:rsidRPr="00282969">
        <w:t>A. Couzinet, G. Collin, D. Le Forestier, F. Nazih</w:t>
      </w:r>
    </w:p>
    <w:p w:rsidR="00F30DC3" w:rsidRPr="00282969" w:rsidRDefault="00F30DC3" w:rsidP="004A3048">
      <w:pPr>
        <w:numPr>
          <w:ilvl w:val="0"/>
          <w:numId w:val="1"/>
        </w:numPr>
        <w:jc w:val="both"/>
      </w:pPr>
      <w:r w:rsidRPr="00282969">
        <w:t>Microscope (</w:t>
      </w:r>
      <w:r w:rsidR="00132DA0">
        <w:t>2h30</w:t>
      </w:r>
      <w:r w:rsidRPr="00282969">
        <w:t>) : S. Birkle, D. Carbonnelle, F. Pagniez, K. Petit, N. Caroff</w:t>
      </w:r>
    </w:p>
    <w:p w:rsidR="00C113E6" w:rsidRPr="00282969" w:rsidRDefault="00C113E6" w:rsidP="004A3048">
      <w:pPr>
        <w:jc w:val="both"/>
        <w:rPr>
          <w:b/>
        </w:rPr>
      </w:pPr>
    </w:p>
    <w:p w:rsidR="00F30DC3" w:rsidRPr="00282969" w:rsidRDefault="00F30DC3" w:rsidP="004A3048">
      <w:pPr>
        <w:jc w:val="both"/>
        <w:rPr>
          <w:b/>
        </w:rPr>
      </w:pPr>
      <w:r w:rsidRPr="00282969">
        <w:rPr>
          <w:b/>
        </w:rPr>
        <w:t>EC372-FPI 2 (15h TP</w:t>
      </w:r>
      <w:r w:rsidR="00D744CE" w:rsidRPr="00282969">
        <w:rPr>
          <w:b/>
        </w:rPr>
        <w:t xml:space="preserve"> – 5 séances</w:t>
      </w:r>
      <w:r w:rsidRPr="00282969">
        <w:rPr>
          <w:b/>
        </w:rPr>
        <w:t>)</w:t>
      </w:r>
    </w:p>
    <w:p w:rsidR="002F03C1" w:rsidRPr="00282969" w:rsidRDefault="00D44C92" w:rsidP="004A3048">
      <w:pPr>
        <w:numPr>
          <w:ilvl w:val="0"/>
          <w:numId w:val="1"/>
        </w:numPr>
        <w:jc w:val="both"/>
      </w:pPr>
      <w:r w:rsidRPr="00282969">
        <w:t>Chromatographie sur couche mince (CCM) (3h) : A. Vergnoux, D. Le Forestier</w:t>
      </w:r>
    </w:p>
    <w:p w:rsidR="00D44C92" w:rsidRPr="00282969" w:rsidRDefault="00D44C92" w:rsidP="004A3048">
      <w:pPr>
        <w:numPr>
          <w:ilvl w:val="0"/>
          <w:numId w:val="1"/>
        </w:numPr>
        <w:jc w:val="both"/>
      </w:pPr>
      <w:r w:rsidRPr="00282969">
        <w:t xml:space="preserve">Chromatographie sur colonne et extraction liquide-liquide (3h) : </w:t>
      </w:r>
      <w:r w:rsidR="00832184" w:rsidRPr="00282969">
        <w:t xml:space="preserve">P. Marchand, M.-A. Bazin </w:t>
      </w:r>
    </w:p>
    <w:p w:rsidR="00D44C92" w:rsidRPr="00282969" w:rsidRDefault="00D44C92" w:rsidP="004A3048">
      <w:pPr>
        <w:numPr>
          <w:ilvl w:val="0"/>
          <w:numId w:val="1"/>
        </w:numPr>
        <w:jc w:val="both"/>
      </w:pPr>
      <w:r w:rsidRPr="00282969">
        <w:t xml:space="preserve">Extraction solide liquide et extraction liquide-liquide (3h) : </w:t>
      </w:r>
      <w:r w:rsidR="00832184" w:rsidRPr="00282969">
        <w:t>O. Grovel, K. Petit</w:t>
      </w:r>
    </w:p>
    <w:p w:rsidR="00D44C92" w:rsidRPr="00282969" w:rsidRDefault="00D44C92" w:rsidP="004A3048">
      <w:pPr>
        <w:numPr>
          <w:ilvl w:val="0"/>
          <w:numId w:val="1"/>
        </w:numPr>
        <w:jc w:val="both"/>
      </w:pPr>
      <w:r w:rsidRPr="00282969">
        <w:t>Extraction de l’ADN (3h) : F. Nazih, H. Nazih</w:t>
      </w:r>
    </w:p>
    <w:p w:rsidR="00D44C92" w:rsidRPr="00282969" w:rsidRDefault="00D44C92" w:rsidP="004A3048">
      <w:pPr>
        <w:numPr>
          <w:ilvl w:val="0"/>
          <w:numId w:val="1"/>
        </w:numPr>
        <w:jc w:val="both"/>
      </w:pPr>
      <w:r w:rsidRPr="00282969">
        <w:t>Extraction et purification d’une protéine (3h) : F. Nazih, H. Nazih</w:t>
      </w:r>
    </w:p>
    <w:p w:rsidR="00F30DC3" w:rsidRPr="00282969" w:rsidRDefault="00F30DC3" w:rsidP="004A3048">
      <w:pPr>
        <w:jc w:val="both"/>
        <w:rPr>
          <w:b/>
          <w:lang w:val="en-US"/>
        </w:rPr>
      </w:pPr>
      <w:r w:rsidRPr="00282969">
        <w:rPr>
          <w:b/>
          <w:lang w:val="en-US"/>
        </w:rPr>
        <w:lastRenderedPageBreak/>
        <w:t>EC373-HS (</w:t>
      </w:r>
      <w:r w:rsidR="00132DA0">
        <w:rPr>
          <w:b/>
          <w:lang w:val="en-US"/>
        </w:rPr>
        <w:t>1.5</w:t>
      </w:r>
      <w:r w:rsidRPr="00282969">
        <w:rPr>
          <w:b/>
          <w:lang w:val="en-US"/>
        </w:rPr>
        <w:t xml:space="preserve">h </w:t>
      </w:r>
      <w:r w:rsidR="00132DA0">
        <w:rPr>
          <w:b/>
          <w:lang w:val="en-US"/>
        </w:rPr>
        <w:t>ED</w:t>
      </w:r>
      <w:r w:rsidR="006472B7" w:rsidRPr="00282969">
        <w:rPr>
          <w:b/>
          <w:lang w:val="en-US"/>
        </w:rPr>
        <w:t xml:space="preserve"> – 1 séance</w:t>
      </w:r>
      <w:r w:rsidRPr="00282969">
        <w:rPr>
          <w:b/>
          <w:lang w:val="en-US"/>
        </w:rPr>
        <w:t>)</w:t>
      </w:r>
    </w:p>
    <w:p w:rsidR="002F03C1" w:rsidRPr="00282969" w:rsidRDefault="00E538F5" w:rsidP="004A3048">
      <w:pPr>
        <w:numPr>
          <w:ilvl w:val="0"/>
          <w:numId w:val="1"/>
        </w:numPr>
        <w:jc w:val="both"/>
      </w:pPr>
      <w:r w:rsidRPr="00282969">
        <w:t xml:space="preserve">Règles d’hygiène et de sécurité au laboratoire, étiquetage, </w:t>
      </w:r>
      <w:r w:rsidR="00832184" w:rsidRPr="00282969">
        <w:t>pictogrammes</w:t>
      </w:r>
      <w:r w:rsidRPr="00282969">
        <w:t xml:space="preserve"> de risque, fiches toxicologiques (3h), E. Verron</w:t>
      </w:r>
    </w:p>
    <w:p w:rsidR="002F03C1" w:rsidRPr="00282969" w:rsidRDefault="002F03C1">
      <w:pPr>
        <w:rPr>
          <w:b/>
        </w:rPr>
      </w:pPr>
    </w:p>
    <w:p w:rsidR="0088419C" w:rsidRPr="00282969" w:rsidRDefault="0088419C" w:rsidP="004A3048">
      <w:pPr>
        <w:jc w:val="both"/>
      </w:pPr>
      <w:r w:rsidRPr="00282969">
        <w:rPr>
          <w:b/>
        </w:rPr>
        <w:t>1 séance (1,5 h) ED bilan chromatographie –</w:t>
      </w:r>
      <w:r w:rsidR="00832184" w:rsidRPr="00282969">
        <w:rPr>
          <w:b/>
        </w:rPr>
        <w:t xml:space="preserve"> </w:t>
      </w:r>
      <w:r w:rsidRPr="00282969">
        <w:rPr>
          <w:b/>
        </w:rPr>
        <w:t xml:space="preserve">extraction : </w:t>
      </w:r>
      <w:r w:rsidRPr="00282969">
        <w:t xml:space="preserve">P. Marchand, F. Nazih, O. Grovel </w:t>
      </w:r>
      <w:r w:rsidR="004A3048">
        <w:t xml:space="preserve">              </w:t>
      </w:r>
      <w:r w:rsidRPr="00282969">
        <w:t xml:space="preserve">(ou K. </w:t>
      </w:r>
      <w:r w:rsidR="004A3048">
        <w:t>P</w:t>
      </w:r>
      <w:r w:rsidRPr="00282969">
        <w:t>etit), A. Vergnoux</w:t>
      </w:r>
    </w:p>
    <w:p w:rsidR="0088419C" w:rsidRPr="00282969" w:rsidRDefault="0088419C"/>
    <w:p w:rsidR="00684B6F" w:rsidRPr="00282969" w:rsidRDefault="00684B6F">
      <w:pPr>
        <w:rPr>
          <w:b/>
        </w:rPr>
      </w:pPr>
      <w:r w:rsidRPr="00282969">
        <w:rPr>
          <w:b/>
        </w:rPr>
        <w:t>Modalités d’évaluation</w:t>
      </w:r>
      <w:r w:rsidR="000E4ED8" w:rsidRPr="00282969">
        <w:rPr>
          <w:b/>
        </w:rPr>
        <w:t> :</w:t>
      </w:r>
    </w:p>
    <w:p w:rsidR="00684B6F" w:rsidRPr="00282969" w:rsidRDefault="00F277B3">
      <w:r w:rsidRPr="00282969">
        <w:t>Contrôle continu</w:t>
      </w:r>
    </w:p>
    <w:p w:rsidR="002F03C1" w:rsidRPr="00282969" w:rsidRDefault="002F03C1">
      <w:pPr>
        <w:rPr>
          <w:b/>
        </w:rPr>
      </w:pPr>
    </w:p>
    <w:p w:rsidR="00684B6F" w:rsidRPr="00282969" w:rsidRDefault="00684B6F">
      <w:r w:rsidRPr="00282969">
        <w:rPr>
          <w:b/>
        </w:rPr>
        <w:t xml:space="preserve">Pré-requis : </w:t>
      </w:r>
    </w:p>
    <w:p w:rsidR="002F03C1" w:rsidRPr="00282969" w:rsidRDefault="00F277B3">
      <w:r w:rsidRPr="00282969">
        <w:t>Cours de chimie et de biochimie PACES</w:t>
      </w:r>
    </w:p>
    <w:sectPr w:rsidR="002F03C1" w:rsidRPr="00282969" w:rsidSect="00021E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571" w:rsidRDefault="00633571" w:rsidP="004843EF">
      <w:pPr>
        <w:spacing w:after="0" w:line="240" w:lineRule="auto"/>
      </w:pPr>
      <w:r>
        <w:separator/>
      </w:r>
    </w:p>
  </w:endnote>
  <w:endnote w:type="continuationSeparator" w:id="0">
    <w:p w:rsidR="00633571" w:rsidRDefault="00633571" w:rsidP="0048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571" w:rsidRDefault="00633571" w:rsidP="004843EF">
      <w:pPr>
        <w:spacing w:after="0" w:line="240" w:lineRule="auto"/>
      </w:pPr>
      <w:r>
        <w:separator/>
      </w:r>
    </w:p>
  </w:footnote>
  <w:footnote w:type="continuationSeparator" w:id="0">
    <w:p w:rsidR="00633571" w:rsidRDefault="00633571" w:rsidP="00484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3EF" w:rsidRDefault="004843EF" w:rsidP="00A64CCD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58240" stroked="f">
          <v:textbox>
            <w:txbxContent>
              <w:p w:rsidR="004843EF" w:rsidRPr="004C5115" w:rsidRDefault="004843EF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57216" stroked="f">
          <v:textbox>
            <w:txbxContent>
              <w:p w:rsidR="004843EF" w:rsidRPr="004843EF" w:rsidRDefault="004843EF">
                <w:pPr>
                  <w:rPr>
                    <w:color w:val="17365D"/>
                    <w:sz w:val="18"/>
                  </w:rPr>
                </w:pPr>
                <w:r w:rsidRPr="004843EF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FC33F9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FC33F9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43EF" w:rsidRDefault="004843E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876AA"/>
    <w:multiLevelType w:val="hybridMultilevel"/>
    <w:tmpl w:val="DFCC5AC8"/>
    <w:lvl w:ilvl="0" w:tplc="4F76F7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83526"/>
    <w:rsid w:val="000E4ED8"/>
    <w:rsid w:val="000F5B11"/>
    <w:rsid w:val="00104E2F"/>
    <w:rsid w:val="0012642F"/>
    <w:rsid w:val="00132DA0"/>
    <w:rsid w:val="00282969"/>
    <w:rsid w:val="002F03C1"/>
    <w:rsid w:val="00445E10"/>
    <w:rsid w:val="004843EF"/>
    <w:rsid w:val="004A3048"/>
    <w:rsid w:val="0050115C"/>
    <w:rsid w:val="005274DC"/>
    <w:rsid w:val="00552948"/>
    <w:rsid w:val="00590D1E"/>
    <w:rsid w:val="00633571"/>
    <w:rsid w:val="006472B7"/>
    <w:rsid w:val="00684B6F"/>
    <w:rsid w:val="00691FFE"/>
    <w:rsid w:val="00737166"/>
    <w:rsid w:val="00771264"/>
    <w:rsid w:val="007E2B76"/>
    <w:rsid w:val="00832184"/>
    <w:rsid w:val="0088419C"/>
    <w:rsid w:val="00900C0B"/>
    <w:rsid w:val="009517CC"/>
    <w:rsid w:val="00A64CCD"/>
    <w:rsid w:val="00AA07E9"/>
    <w:rsid w:val="00C113E6"/>
    <w:rsid w:val="00C5101E"/>
    <w:rsid w:val="00C812F3"/>
    <w:rsid w:val="00D3194B"/>
    <w:rsid w:val="00D44C92"/>
    <w:rsid w:val="00D60AE6"/>
    <w:rsid w:val="00D744CE"/>
    <w:rsid w:val="00E538F5"/>
    <w:rsid w:val="00EC5F44"/>
    <w:rsid w:val="00F277B3"/>
    <w:rsid w:val="00F30DC3"/>
    <w:rsid w:val="00FB6242"/>
    <w:rsid w:val="00FC33F9"/>
    <w:rsid w:val="00FD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4843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43E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843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843EF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43E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22142-F8E5-41B5-A390-4FE6D412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</dc:creator>
  <cp:keywords/>
  <cp:lastModifiedBy> </cp:lastModifiedBy>
  <cp:revision>2</cp:revision>
  <cp:lastPrinted>2011-02-25T13:12:00Z</cp:lastPrinted>
  <dcterms:created xsi:type="dcterms:W3CDTF">2013-01-21T08:00:00Z</dcterms:created>
  <dcterms:modified xsi:type="dcterms:W3CDTF">2013-01-21T08:00:00Z</dcterms:modified>
</cp:coreProperties>
</file>