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6FA" w:rsidRDefault="00590D1E" w:rsidP="000A0AC0">
      <w:pPr>
        <w:tabs>
          <w:tab w:val="left" w:pos="2410"/>
          <w:tab w:val="left" w:pos="7230"/>
        </w:tabs>
        <w:spacing w:after="0" w:line="240" w:lineRule="auto"/>
        <w:rPr>
          <w:sz w:val="36"/>
          <w:szCs w:val="36"/>
        </w:rPr>
      </w:pPr>
      <w:r w:rsidRPr="00691FFE">
        <w:rPr>
          <w:b/>
          <w:sz w:val="36"/>
          <w:szCs w:val="36"/>
        </w:rPr>
        <w:t>Intitulé de l’EC</w:t>
      </w:r>
      <w:r w:rsidR="00691FFE">
        <w:t xml:space="preserve"> : </w:t>
      </w:r>
      <w:r w:rsidRPr="00691FFE">
        <w:tab/>
      </w:r>
      <w:r w:rsidR="000A0AC0">
        <w:rPr>
          <w:b/>
          <w:color w:val="7F7F7F"/>
          <w:sz w:val="32"/>
        </w:rPr>
        <w:t>Éléments de base pharmaceutiques</w:t>
      </w:r>
      <w:r w:rsidR="00AA07E9">
        <w:tab/>
      </w:r>
      <w:r w:rsidRPr="00691FFE">
        <w:rPr>
          <w:sz w:val="36"/>
          <w:szCs w:val="36"/>
        </w:rPr>
        <w:t>N°</w:t>
      </w:r>
      <w:r w:rsidR="00691FFE">
        <w:rPr>
          <w:sz w:val="36"/>
          <w:szCs w:val="36"/>
        </w:rPr>
        <w:t xml:space="preserve"> </w:t>
      </w:r>
      <w:r w:rsidR="00D60AE6">
        <w:rPr>
          <w:sz w:val="36"/>
          <w:szCs w:val="36"/>
        </w:rPr>
        <w:t>S</w:t>
      </w:r>
      <w:r w:rsidR="00C51FB6">
        <w:rPr>
          <w:sz w:val="36"/>
          <w:szCs w:val="36"/>
        </w:rPr>
        <w:t>3</w:t>
      </w:r>
      <w:r w:rsidR="00D60AE6">
        <w:rPr>
          <w:sz w:val="36"/>
          <w:szCs w:val="36"/>
        </w:rPr>
        <w:t>-</w:t>
      </w:r>
      <w:r w:rsidR="00C51FB6">
        <w:rPr>
          <w:sz w:val="36"/>
          <w:szCs w:val="36"/>
        </w:rPr>
        <w:t>UE</w:t>
      </w:r>
      <w:r w:rsidR="000A0AC0">
        <w:rPr>
          <w:sz w:val="36"/>
          <w:szCs w:val="36"/>
        </w:rPr>
        <w:t>C 1</w:t>
      </w:r>
    </w:p>
    <w:p w:rsidR="00AA07E9" w:rsidRPr="00C5456F" w:rsidRDefault="004C16FA" w:rsidP="00C5456F">
      <w:pPr>
        <w:tabs>
          <w:tab w:val="center" w:pos="4253"/>
          <w:tab w:val="left" w:pos="6379"/>
        </w:tabs>
        <w:spacing w:line="240" w:lineRule="auto"/>
        <w:rPr>
          <w:sz w:val="36"/>
          <w:szCs w:val="36"/>
        </w:rPr>
      </w:pPr>
      <w:r>
        <w:rPr>
          <w:sz w:val="36"/>
          <w:szCs w:val="36"/>
        </w:rPr>
        <w:t xml:space="preserve"> </w:t>
      </w:r>
      <w:r>
        <w:rPr>
          <w:sz w:val="36"/>
          <w:szCs w:val="36"/>
        </w:rPr>
        <w:tab/>
      </w:r>
      <w:r w:rsidRPr="004C16FA">
        <w:rPr>
          <w:b/>
          <w:color w:val="7F7F7F"/>
          <w:sz w:val="32"/>
          <w:szCs w:val="36"/>
        </w:rPr>
        <w:t>Chimie Analytique</w:t>
      </w:r>
      <w:r w:rsidR="00D30214">
        <w:rPr>
          <w:b/>
          <w:color w:val="7F7F7F"/>
          <w:sz w:val="32"/>
          <w:szCs w:val="36"/>
        </w:rPr>
        <w:t xml:space="preserve"> et Chimie Minérale</w:t>
      </w:r>
      <w:r>
        <w:rPr>
          <w:sz w:val="36"/>
          <w:szCs w:val="36"/>
        </w:rPr>
        <w:tab/>
      </w:r>
    </w:p>
    <w:p w:rsidR="00691FFE" w:rsidRPr="00691FFE" w:rsidRDefault="00691FFE">
      <w:pPr>
        <w:rPr>
          <w:b/>
          <w:sz w:val="24"/>
          <w:szCs w:val="24"/>
        </w:rPr>
      </w:pPr>
      <w:r w:rsidRPr="00691FFE">
        <w:rPr>
          <w:b/>
          <w:sz w:val="24"/>
          <w:szCs w:val="24"/>
        </w:rPr>
        <w:t>Répartition des heures d’enseignement</w:t>
      </w:r>
    </w:p>
    <w:tbl>
      <w:tblPr>
        <w:tblW w:w="9514" w:type="dxa"/>
        <w:tblBorders>
          <w:top w:val="single" w:sz="8" w:space="0" w:color="4F81BD"/>
          <w:bottom w:val="single" w:sz="8" w:space="0" w:color="4F81BD"/>
        </w:tblBorders>
        <w:tblLayout w:type="fixed"/>
        <w:tblLook w:val="04A0"/>
      </w:tblPr>
      <w:tblGrid>
        <w:gridCol w:w="1247"/>
        <w:gridCol w:w="737"/>
        <w:gridCol w:w="794"/>
        <w:gridCol w:w="794"/>
        <w:gridCol w:w="794"/>
        <w:gridCol w:w="794"/>
        <w:gridCol w:w="794"/>
        <w:gridCol w:w="931"/>
        <w:gridCol w:w="1065"/>
        <w:gridCol w:w="1564"/>
      </w:tblGrid>
      <w:tr w:rsidR="00F46ACB" w:rsidRPr="002C41CD" w:rsidTr="00F46ACB">
        <w:trPr>
          <w:trHeight w:val="110"/>
        </w:trPr>
        <w:tc>
          <w:tcPr>
            <w:tcW w:w="1247" w:type="dxa"/>
            <w:tcBorders>
              <w:left w:val="nil"/>
              <w:right w:val="nil"/>
            </w:tcBorders>
            <w:shd w:val="clear" w:color="auto" w:fill="auto"/>
          </w:tcPr>
          <w:p w:rsidR="00F46ACB" w:rsidRPr="002C41CD" w:rsidRDefault="00F46ACB" w:rsidP="00F46ACB">
            <w:pPr>
              <w:spacing w:after="0" w:line="240" w:lineRule="auto"/>
              <w:rPr>
                <w:b/>
                <w:bCs/>
                <w:color w:val="365F91"/>
              </w:rPr>
            </w:pPr>
          </w:p>
        </w:tc>
        <w:tc>
          <w:tcPr>
            <w:tcW w:w="737" w:type="dxa"/>
            <w:tcBorders>
              <w:left w:val="nil"/>
              <w:right w:val="nil"/>
            </w:tcBorders>
            <w:shd w:val="clear" w:color="auto" w:fill="auto"/>
          </w:tcPr>
          <w:p w:rsidR="00F46ACB" w:rsidRPr="002C41CD" w:rsidRDefault="00F46ACB" w:rsidP="00F46ACB">
            <w:pPr>
              <w:spacing w:after="0" w:line="240" w:lineRule="auto"/>
              <w:jc w:val="center"/>
              <w:rPr>
                <w:b/>
                <w:bCs/>
                <w:color w:val="365F91"/>
              </w:rPr>
            </w:pPr>
            <w:r w:rsidRPr="002C41CD">
              <w:rPr>
                <w:b/>
                <w:bCs/>
                <w:color w:val="365F91"/>
              </w:rPr>
              <w:t>CM</w:t>
            </w:r>
          </w:p>
        </w:tc>
        <w:tc>
          <w:tcPr>
            <w:tcW w:w="794" w:type="dxa"/>
            <w:tcBorders>
              <w:left w:val="nil"/>
              <w:right w:val="nil"/>
            </w:tcBorders>
            <w:shd w:val="clear" w:color="auto" w:fill="auto"/>
          </w:tcPr>
          <w:p w:rsidR="00F46ACB" w:rsidRPr="002C41CD" w:rsidRDefault="00F46ACB" w:rsidP="00F46ACB">
            <w:pPr>
              <w:spacing w:after="0" w:line="240" w:lineRule="auto"/>
              <w:jc w:val="center"/>
              <w:rPr>
                <w:bCs/>
                <w:color w:val="365F91"/>
              </w:rPr>
            </w:pPr>
            <w:r w:rsidRPr="002C41CD">
              <w:rPr>
                <w:b/>
                <w:bCs/>
                <w:color w:val="365F91"/>
              </w:rPr>
              <w:t>8 h</w:t>
            </w:r>
          </w:p>
        </w:tc>
        <w:tc>
          <w:tcPr>
            <w:tcW w:w="794" w:type="dxa"/>
            <w:tcBorders>
              <w:left w:val="nil"/>
              <w:right w:val="nil"/>
            </w:tcBorders>
            <w:shd w:val="clear" w:color="auto" w:fill="auto"/>
          </w:tcPr>
          <w:p w:rsidR="00F46ACB" w:rsidRPr="002C41CD" w:rsidRDefault="00F46ACB" w:rsidP="00F46ACB">
            <w:pPr>
              <w:spacing w:after="0" w:line="240" w:lineRule="auto"/>
              <w:jc w:val="center"/>
              <w:rPr>
                <w:b/>
                <w:color w:val="365F91"/>
              </w:rPr>
            </w:pPr>
            <w:r w:rsidRPr="002C41CD">
              <w:rPr>
                <w:b/>
                <w:bCs/>
                <w:color w:val="365F91"/>
              </w:rPr>
              <w:t>ED</w:t>
            </w:r>
          </w:p>
        </w:tc>
        <w:tc>
          <w:tcPr>
            <w:tcW w:w="794" w:type="dxa"/>
            <w:tcBorders>
              <w:left w:val="nil"/>
              <w:right w:val="nil"/>
            </w:tcBorders>
            <w:shd w:val="clear" w:color="auto" w:fill="auto"/>
          </w:tcPr>
          <w:p w:rsidR="00F46ACB" w:rsidRPr="002C41CD" w:rsidRDefault="00F46ACB" w:rsidP="00D5684B">
            <w:pPr>
              <w:spacing w:after="0" w:line="240" w:lineRule="auto"/>
              <w:jc w:val="center"/>
              <w:rPr>
                <w:color w:val="365F91"/>
              </w:rPr>
            </w:pPr>
            <w:r w:rsidRPr="002C41CD">
              <w:rPr>
                <w:b/>
                <w:bCs/>
                <w:color w:val="365F91"/>
              </w:rPr>
              <w:t>1</w:t>
            </w:r>
            <w:r w:rsidR="00D5684B" w:rsidRPr="002C41CD">
              <w:rPr>
                <w:b/>
                <w:bCs/>
                <w:color w:val="365F91"/>
              </w:rPr>
              <w:t>0</w:t>
            </w:r>
            <w:r w:rsidRPr="002C41CD">
              <w:rPr>
                <w:b/>
                <w:bCs/>
                <w:color w:val="365F91"/>
              </w:rPr>
              <w:t>,5 h</w:t>
            </w:r>
          </w:p>
        </w:tc>
        <w:tc>
          <w:tcPr>
            <w:tcW w:w="794" w:type="dxa"/>
            <w:tcBorders>
              <w:left w:val="nil"/>
              <w:right w:val="nil"/>
            </w:tcBorders>
            <w:shd w:val="clear" w:color="auto" w:fill="auto"/>
          </w:tcPr>
          <w:p w:rsidR="00F46ACB" w:rsidRPr="002C41CD" w:rsidRDefault="00F46ACB" w:rsidP="00F46ACB">
            <w:pPr>
              <w:spacing w:after="0" w:line="240" w:lineRule="auto"/>
              <w:jc w:val="center"/>
              <w:rPr>
                <w:b/>
                <w:color w:val="365F91"/>
              </w:rPr>
            </w:pPr>
            <w:r w:rsidRPr="002C41CD">
              <w:rPr>
                <w:b/>
                <w:bCs/>
                <w:color w:val="365F91"/>
              </w:rPr>
              <w:t>TP</w:t>
            </w:r>
          </w:p>
        </w:tc>
        <w:tc>
          <w:tcPr>
            <w:tcW w:w="794" w:type="dxa"/>
            <w:tcBorders>
              <w:left w:val="nil"/>
              <w:right w:val="nil"/>
            </w:tcBorders>
            <w:shd w:val="clear" w:color="auto" w:fill="auto"/>
          </w:tcPr>
          <w:p w:rsidR="00F46ACB" w:rsidRPr="002C41CD" w:rsidRDefault="00F46ACB" w:rsidP="00F46ACB">
            <w:pPr>
              <w:spacing w:after="0" w:line="240" w:lineRule="auto"/>
              <w:jc w:val="center"/>
              <w:rPr>
                <w:color w:val="365F91"/>
              </w:rPr>
            </w:pPr>
            <w:r w:rsidRPr="002C41CD">
              <w:rPr>
                <w:b/>
                <w:bCs/>
                <w:color w:val="365F91"/>
              </w:rPr>
              <w:t>h</w:t>
            </w:r>
          </w:p>
        </w:tc>
        <w:tc>
          <w:tcPr>
            <w:tcW w:w="1996" w:type="dxa"/>
            <w:gridSpan w:val="2"/>
            <w:tcBorders>
              <w:left w:val="nil"/>
              <w:right w:val="nil"/>
            </w:tcBorders>
            <w:shd w:val="clear" w:color="auto" w:fill="auto"/>
          </w:tcPr>
          <w:p w:rsidR="00F46ACB" w:rsidRPr="002C41CD" w:rsidRDefault="00F46ACB" w:rsidP="00F46ACB">
            <w:pPr>
              <w:spacing w:after="0" w:line="240" w:lineRule="auto"/>
              <w:jc w:val="center"/>
              <w:rPr>
                <w:color w:val="365F91"/>
              </w:rPr>
            </w:pPr>
            <w:r w:rsidRPr="002C41CD">
              <w:rPr>
                <w:b/>
                <w:bCs/>
                <w:color w:val="365F91"/>
              </w:rPr>
              <w:t>travail personnel :</w:t>
            </w:r>
          </w:p>
        </w:tc>
        <w:tc>
          <w:tcPr>
            <w:tcW w:w="1564" w:type="dxa"/>
            <w:tcBorders>
              <w:left w:val="nil"/>
              <w:right w:val="nil"/>
            </w:tcBorders>
            <w:shd w:val="clear" w:color="auto" w:fill="auto"/>
          </w:tcPr>
          <w:p w:rsidR="00F46ACB" w:rsidRPr="002C41CD" w:rsidRDefault="00F46ACB" w:rsidP="00F46ACB">
            <w:pPr>
              <w:spacing w:after="0" w:line="240" w:lineRule="auto"/>
              <w:jc w:val="center"/>
              <w:rPr>
                <w:color w:val="365F91"/>
              </w:rPr>
            </w:pPr>
            <w:r w:rsidRPr="002C41CD">
              <w:rPr>
                <w:b/>
                <w:bCs/>
                <w:color w:val="365F91"/>
              </w:rPr>
              <w:t>10 h</w:t>
            </w:r>
          </w:p>
        </w:tc>
      </w:tr>
      <w:tr w:rsidR="00F46ACB" w:rsidRPr="002C41CD" w:rsidTr="00F46ACB">
        <w:trPr>
          <w:trHeight w:val="110"/>
        </w:trPr>
        <w:tc>
          <w:tcPr>
            <w:tcW w:w="1247" w:type="dxa"/>
            <w:tcBorders>
              <w:left w:val="nil"/>
              <w:right w:val="nil"/>
            </w:tcBorders>
            <w:shd w:val="clear" w:color="auto" w:fill="D3DFEE"/>
          </w:tcPr>
          <w:p w:rsidR="00F46ACB" w:rsidRPr="002C41CD" w:rsidRDefault="00F46ACB" w:rsidP="00F46ACB">
            <w:pPr>
              <w:spacing w:after="0" w:line="240" w:lineRule="auto"/>
              <w:rPr>
                <w:b/>
                <w:bCs/>
                <w:color w:val="365F91"/>
              </w:rPr>
            </w:pPr>
            <w:r w:rsidRPr="002C41CD">
              <w:rPr>
                <w:b/>
                <w:bCs/>
                <w:color w:val="365F91"/>
              </w:rPr>
              <w:t>Chimie Analytique</w:t>
            </w:r>
          </w:p>
        </w:tc>
        <w:tc>
          <w:tcPr>
            <w:tcW w:w="737" w:type="dxa"/>
            <w:tcBorders>
              <w:left w:val="nil"/>
              <w:right w:val="nil"/>
            </w:tcBorders>
            <w:shd w:val="clear" w:color="auto" w:fill="D3DFEE"/>
            <w:vAlign w:val="center"/>
          </w:tcPr>
          <w:p w:rsidR="00F46ACB" w:rsidRPr="002C41CD" w:rsidRDefault="00F46ACB" w:rsidP="00F46ACB">
            <w:pPr>
              <w:spacing w:after="0" w:line="240" w:lineRule="auto"/>
              <w:jc w:val="center"/>
              <w:rPr>
                <w:b/>
                <w:bCs/>
                <w:color w:val="365F91"/>
              </w:rPr>
            </w:pPr>
          </w:p>
        </w:tc>
        <w:tc>
          <w:tcPr>
            <w:tcW w:w="794" w:type="dxa"/>
            <w:tcBorders>
              <w:left w:val="nil"/>
              <w:right w:val="nil"/>
            </w:tcBorders>
            <w:shd w:val="clear" w:color="auto" w:fill="D3DFEE"/>
            <w:vAlign w:val="center"/>
          </w:tcPr>
          <w:p w:rsidR="00F46ACB" w:rsidRPr="002C41CD" w:rsidRDefault="00C5456F" w:rsidP="00F46ACB">
            <w:pPr>
              <w:spacing w:after="0" w:line="240" w:lineRule="auto"/>
              <w:jc w:val="center"/>
              <w:rPr>
                <w:color w:val="365F91"/>
              </w:rPr>
            </w:pPr>
            <w:r w:rsidRPr="002C41CD">
              <w:rPr>
                <w:bCs/>
                <w:color w:val="365F91"/>
              </w:rPr>
              <w:t>6</w:t>
            </w:r>
            <w:r w:rsidR="00F46ACB" w:rsidRPr="002C41CD">
              <w:rPr>
                <w:bCs/>
                <w:color w:val="365F91"/>
              </w:rPr>
              <w:t xml:space="preserve"> h</w:t>
            </w:r>
          </w:p>
        </w:tc>
        <w:tc>
          <w:tcPr>
            <w:tcW w:w="794" w:type="dxa"/>
            <w:tcBorders>
              <w:left w:val="nil"/>
              <w:right w:val="nil"/>
            </w:tcBorders>
            <w:shd w:val="clear" w:color="auto" w:fill="D3DFEE"/>
            <w:vAlign w:val="center"/>
          </w:tcPr>
          <w:p w:rsidR="00F46ACB" w:rsidRPr="002C41CD" w:rsidRDefault="00F46ACB" w:rsidP="00F46ACB">
            <w:pPr>
              <w:spacing w:after="0" w:line="240" w:lineRule="auto"/>
              <w:jc w:val="center"/>
              <w:rPr>
                <w:b/>
                <w:color w:val="365F91"/>
              </w:rPr>
            </w:pPr>
          </w:p>
        </w:tc>
        <w:tc>
          <w:tcPr>
            <w:tcW w:w="794" w:type="dxa"/>
            <w:tcBorders>
              <w:left w:val="nil"/>
              <w:right w:val="nil"/>
            </w:tcBorders>
            <w:shd w:val="clear" w:color="auto" w:fill="D3DFEE"/>
            <w:vAlign w:val="center"/>
          </w:tcPr>
          <w:p w:rsidR="00F46ACB" w:rsidRPr="002C41CD" w:rsidRDefault="00F46ACB" w:rsidP="00F46ACB">
            <w:pPr>
              <w:spacing w:after="0" w:line="240" w:lineRule="auto"/>
              <w:jc w:val="center"/>
              <w:rPr>
                <w:color w:val="365F91"/>
              </w:rPr>
            </w:pPr>
            <w:r w:rsidRPr="002C41CD">
              <w:rPr>
                <w:b/>
                <w:bCs/>
                <w:color w:val="365F91"/>
              </w:rPr>
              <w:t>4,5 h</w:t>
            </w:r>
          </w:p>
        </w:tc>
        <w:tc>
          <w:tcPr>
            <w:tcW w:w="794" w:type="dxa"/>
            <w:tcBorders>
              <w:left w:val="nil"/>
              <w:right w:val="nil"/>
            </w:tcBorders>
            <w:shd w:val="clear" w:color="auto" w:fill="D3DFEE"/>
            <w:vAlign w:val="center"/>
          </w:tcPr>
          <w:p w:rsidR="00F46ACB" w:rsidRPr="002C41CD" w:rsidRDefault="00F46ACB" w:rsidP="00F46ACB">
            <w:pPr>
              <w:spacing w:after="0" w:line="240" w:lineRule="auto"/>
              <w:jc w:val="center"/>
              <w:rPr>
                <w:b/>
                <w:color w:val="365F91"/>
              </w:rPr>
            </w:pPr>
          </w:p>
        </w:tc>
        <w:tc>
          <w:tcPr>
            <w:tcW w:w="794" w:type="dxa"/>
            <w:tcBorders>
              <w:left w:val="nil"/>
              <w:right w:val="nil"/>
            </w:tcBorders>
            <w:shd w:val="clear" w:color="auto" w:fill="D3DFEE"/>
            <w:vAlign w:val="center"/>
          </w:tcPr>
          <w:p w:rsidR="00F46ACB" w:rsidRPr="002C41CD" w:rsidRDefault="00F46ACB" w:rsidP="00F46ACB">
            <w:pPr>
              <w:spacing w:after="0" w:line="240" w:lineRule="auto"/>
              <w:jc w:val="center"/>
              <w:rPr>
                <w:color w:val="365F91"/>
              </w:rPr>
            </w:pPr>
          </w:p>
        </w:tc>
        <w:tc>
          <w:tcPr>
            <w:tcW w:w="931" w:type="dxa"/>
            <w:tcBorders>
              <w:left w:val="nil"/>
              <w:right w:val="nil"/>
            </w:tcBorders>
            <w:shd w:val="clear" w:color="auto" w:fill="D3DFEE"/>
            <w:vAlign w:val="center"/>
          </w:tcPr>
          <w:p w:rsidR="00F46ACB" w:rsidRPr="002C41CD" w:rsidRDefault="00F46ACB" w:rsidP="00F46ACB">
            <w:pPr>
              <w:spacing w:after="0" w:line="240" w:lineRule="auto"/>
              <w:jc w:val="center"/>
              <w:rPr>
                <w:color w:val="365F91"/>
              </w:rPr>
            </w:pPr>
          </w:p>
        </w:tc>
        <w:tc>
          <w:tcPr>
            <w:tcW w:w="1065" w:type="dxa"/>
            <w:tcBorders>
              <w:left w:val="nil"/>
              <w:right w:val="nil"/>
            </w:tcBorders>
            <w:shd w:val="clear" w:color="auto" w:fill="D3DFEE"/>
            <w:vAlign w:val="center"/>
          </w:tcPr>
          <w:p w:rsidR="00F46ACB" w:rsidRPr="002C41CD" w:rsidRDefault="00F46ACB" w:rsidP="00F46ACB">
            <w:pPr>
              <w:spacing w:after="0" w:line="240" w:lineRule="auto"/>
              <w:jc w:val="center"/>
              <w:rPr>
                <w:color w:val="365F91"/>
              </w:rPr>
            </w:pPr>
          </w:p>
        </w:tc>
        <w:tc>
          <w:tcPr>
            <w:tcW w:w="1564" w:type="dxa"/>
            <w:tcBorders>
              <w:left w:val="nil"/>
              <w:right w:val="nil"/>
            </w:tcBorders>
            <w:shd w:val="clear" w:color="auto" w:fill="D3DFEE"/>
            <w:vAlign w:val="center"/>
          </w:tcPr>
          <w:p w:rsidR="00F46ACB" w:rsidRPr="002C41CD" w:rsidRDefault="00F46ACB" w:rsidP="00F46ACB">
            <w:pPr>
              <w:spacing w:after="0" w:line="240" w:lineRule="auto"/>
              <w:jc w:val="center"/>
              <w:rPr>
                <w:color w:val="365F91"/>
              </w:rPr>
            </w:pPr>
            <w:r w:rsidRPr="002C41CD">
              <w:rPr>
                <w:color w:val="365F91"/>
              </w:rPr>
              <w:t>6 h</w:t>
            </w:r>
          </w:p>
        </w:tc>
      </w:tr>
      <w:tr w:rsidR="00F46ACB" w:rsidRPr="002C41CD" w:rsidTr="00F46ACB">
        <w:trPr>
          <w:trHeight w:val="110"/>
        </w:trPr>
        <w:tc>
          <w:tcPr>
            <w:tcW w:w="1247" w:type="dxa"/>
            <w:tcBorders>
              <w:left w:val="nil"/>
              <w:right w:val="nil"/>
            </w:tcBorders>
            <w:shd w:val="clear" w:color="auto" w:fill="D3DFEE"/>
          </w:tcPr>
          <w:p w:rsidR="00F46ACB" w:rsidRPr="002C41CD" w:rsidRDefault="00F46ACB" w:rsidP="00F46ACB">
            <w:pPr>
              <w:spacing w:after="0" w:line="240" w:lineRule="auto"/>
              <w:rPr>
                <w:b/>
                <w:bCs/>
                <w:color w:val="365F91"/>
              </w:rPr>
            </w:pPr>
            <w:r w:rsidRPr="002C41CD">
              <w:rPr>
                <w:b/>
                <w:bCs/>
                <w:color w:val="365F91"/>
              </w:rPr>
              <w:t>Chimie Minérale</w:t>
            </w:r>
          </w:p>
        </w:tc>
        <w:tc>
          <w:tcPr>
            <w:tcW w:w="737" w:type="dxa"/>
            <w:tcBorders>
              <w:left w:val="nil"/>
              <w:right w:val="nil"/>
            </w:tcBorders>
            <w:shd w:val="clear" w:color="auto" w:fill="D3DFEE"/>
            <w:vAlign w:val="center"/>
          </w:tcPr>
          <w:p w:rsidR="00F46ACB" w:rsidRPr="002C41CD" w:rsidRDefault="00F46ACB" w:rsidP="00F46ACB">
            <w:pPr>
              <w:spacing w:after="0" w:line="240" w:lineRule="auto"/>
              <w:jc w:val="center"/>
              <w:rPr>
                <w:b/>
                <w:bCs/>
                <w:color w:val="365F91"/>
              </w:rPr>
            </w:pPr>
          </w:p>
        </w:tc>
        <w:tc>
          <w:tcPr>
            <w:tcW w:w="794" w:type="dxa"/>
            <w:tcBorders>
              <w:left w:val="nil"/>
              <w:right w:val="nil"/>
            </w:tcBorders>
            <w:shd w:val="clear" w:color="auto" w:fill="D3DFEE"/>
            <w:vAlign w:val="center"/>
          </w:tcPr>
          <w:p w:rsidR="00F46ACB" w:rsidRPr="002C41CD" w:rsidRDefault="00C5456F" w:rsidP="00F46ACB">
            <w:pPr>
              <w:spacing w:after="0" w:line="240" w:lineRule="auto"/>
              <w:jc w:val="center"/>
              <w:rPr>
                <w:color w:val="365F91"/>
              </w:rPr>
            </w:pPr>
            <w:r w:rsidRPr="002C41CD">
              <w:rPr>
                <w:color w:val="365F91"/>
              </w:rPr>
              <w:t>2 h</w:t>
            </w:r>
          </w:p>
        </w:tc>
        <w:tc>
          <w:tcPr>
            <w:tcW w:w="794" w:type="dxa"/>
            <w:tcBorders>
              <w:left w:val="nil"/>
              <w:right w:val="nil"/>
            </w:tcBorders>
            <w:shd w:val="clear" w:color="auto" w:fill="D3DFEE"/>
            <w:vAlign w:val="center"/>
          </w:tcPr>
          <w:p w:rsidR="00F46ACB" w:rsidRPr="002C41CD" w:rsidRDefault="00F46ACB" w:rsidP="00F46ACB">
            <w:pPr>
              <w:spacing w:after="0" w:line="240" w:lineRule="auto"/>
              <w:jc w:val="center"/>
              <w:rPr>
                <w:b/>
                <w:color w:val="365F91"/>
              </w:rPr>
            </w:pPr>
          </w:p>
        </w:tc>
        <w:tc>
          <w:tcPr>
            <w:tcW w:w="794" w:type="dxa"/>
            <w:tcBorders>
              <w:left w:val="nil"/>
              <w:right w:val="nil"/>
            </w:tcBorders>
            <w:shd w:val="clear" w:color="auto" w:fill="D3DFEE"/>
            <w:vAlign w:val="center"/>
          </w:tcPr>
          <w:p w:rsidR="00F46ACB" w:rsidRPr="002C41CD" w:rsidRDefault="00C5456F" w:rsidP="00F46ACB">
            <w:pPr>
              <w:spacing w:after="0" w:line="240" w:lineRule="auto"/>
              <w:jc w:val="center"/>
              <w:rPr>
                <w:b/>
                <w:color w:val="365F91"/>
              </w:rPr>
            </w:pPr>
            <w:r w:rsidRPr="002C41CD">
              <w:rPr>
                <w:b/>
                <w:color w:val="365F91"/>
              </w:rPr>
              <w:t>6</w:t>
            </w:r>
            <w:r w:rsidR="00F46ACB" w:rsidRPr="002C41CD">
              <w:rPr>
                <w:b/>
                <w:color w:val="365F91"/>
              </w:rPr>
              <w:t xml:space="preserve"> h</w:t>
            </w:r>
          </w:p>
        </w:tc>
        <w:tc>
          <w:tcPr>
            <w:tcW w:w="794" w:type="dxa"/>
            <w:tcBorders>
              <w:left w:val="nil"/>
              <w:right w:val="nil"/>
            </w:tcBorders>
            <w:shd w:val="clear" w:color="auto" w:fill="D3DFEE"/>
            <w:vAlign w:val="center"/>
          </w:tcPr>
          <w:p w:rsidR="00F46ACB" w:rsidRPr="002C41CD" w:rsidRDefault="00F46ACB" w:rsidP="00F46ACB">
            <w:pPr>
              <w:spacing w:after="0" w:line="240" w:lineRule="auto"/>
              <w:jc w:val="center"/>
              <w:rPr>
                <w:b/>
                <w:color w:val="365F91"/>
              </w:rPr>
            </w:pPr>
          </w:p>
        </w:tc>
        <w:tc>
          <w:tcPr>
            <w:tcW w:w="794" w:type="dxa"/>
            <w:tcBorders>
              <w:left w:val="nil"/>
              <w:right w:val="nil"/>
            </w:tcBorders>
            <w:shd w:val="clear" w:color="auto" w:fill="D3DFEE"/>
            <w:vAlign w:val="center"/>
          </w:tcPr>
          <w:p w:rsidR="00F46ACB" w:rsidRPr="002C41CD" w:rsidRDefault="00F46ACB" w:rsidP="00F46ACB">
            <w:pPr>
              <w:spacing w:after="0" w:line="240" w:lineRule="auto"/>
              <w:jc w:val="center"/>
              <w:rPr>
                <w:color w:val="365F91"/>
              </w:rPr>
            </w:pPr>
          </w:p>
        </w:tc>
        <w:tc>
          <w:tcPr>
            <w:tcW w:w="931" w:type="dxa"/>
            <w:tcBorders>
              <w:left w:val="nil"/>
              <w:right w:val="nil"/>
            </w:tcBorders>
            <w:shd w:val="clear" w:color="auto" w:fill="D3DFEE"/>
            <w:vAlign w:val="center"/>
          </w:tcPr>
          <w:p w:rsidR="00F46ACB" w:rsidRPr="002C41CD" w:rsidRDefault="00F46ACB" w:rsidP="00F46ACB">
            <w:pPr>
              <w:spacing w:after="0" w:line="240" w:lineRule="auto"/>
              <w:jc w:val="center"/>
              <w:rPr>
                <w:color w:val="365F91"/>
              </w:rPr>
            </w:pPr>
          </w:p>
        </w:tc>
        <w:tc>
          <w:tcPr>
            <w:tcW w:w="1065" w:type="dxa"/>
            <w:tcBorders>
              <w:left w:val="nil"/>
              <w:right w:val="nil"/>
            </w:tcBorders>
            <w:shd w:val="clear" w:color="auto" w:fill="D3DFEE"/>
            <w:vAlign w:val="center"/>
          </w:tcPr>
          <w:p w:rsidR="00F46ACB" w:rsidRPr="002C41CD" w:rsidRDefault="00F46ACB" w:rsidP="00F46ACB">
            <w:pPr>
              <w:spacing w:after="0" w:line="240" w:lineRule="auto"/>
              <w:jc w:val="center"/>
              <w:rPr>
                <w:color w:val="365F91"/>
              </w:rPr>
            </w:pPr>
          </w:p>
        </w:tc>
        <w:tc>
          <w:tcPr>
            <w:tcW w:w="1564" w:type="dxa"/>
            <w:tcBorders>
              <w:left w:val="nil"/>
              <w:right w:val="nil"/>
            </w:tcBorders>
            <w:shd w:val="clear" w:color="auto" w:fill="D3DFEE"/>
            <w:vAlign w:val="center"/>
          </w:tcPr>
          <w:p w:rsidR="00F46ACB" w:rsidRPr="002C41CD" w:rsidRDefault="00F46ACB" w:rsidP="00F46ACB">
            <w:pPr>
              <w:spacing w:after="0" w:line="240" w:lineRule="auto"/>
              <w:jc w:val="center"/>
              <w:rPr>
                <w:color w:val="365F91"/>
              </w:rPr>
            </w:pPr>
            <w:r w:rsidRPr="002C41CD">
              <w:rPr>
                <w:color w:val="365F91"/>
              </w:rPr>
              <w:t>4 h</w:t>
            </w:r>
          </w:p>
        </w:tc>
      </w:tr>
    </w:tbl>
    <w:p w:rsidR="00F46ACB" w:rsidRPr="00590D1E" w:rsidRDefault="00F46ACB" w:rsidP="00F46ACB">
      <w:pPr>
        <w:spacing w:after="0"/>
      </w:pPr>
    </w:p>
    <w:p w:rsidR="00590D1E" w:rsidRDefault="00590D1E" w:rsidP="00550D0D">
      <w:pPr>
        <w:spacing w:after="120"/>
        <w:rPr>
          <w:b/>
          <w:sz w:val="24"/>
          <w:szCs w:val="24"/>
        </w:rPr>
      </w:pPr>
      <w:r w:rsidRPr="00691FFE">
        <w:rPr>
          <w:b/>
          <w:sz w:val="24"/>
          <w:szCs w:val="24"/>
        </w:rPr>
        <w:t>Objectifs pédagogiques</w:t>
      </w:r>
      <w:r w:rsidR="00691FFE" w:rsidRPr="00691FFE">
        <w:rPr>
          <w:b/>
          <w:sz w:val="24"/>
          <w:szCs w:val="24"/>
        </w:rPr>
        <w:t> :</w:t>
      </w:r>
    </w:p>
    <w:p w:rsidR="00C51FB6" w:rsidRDefault="00550D0D" w:rsidP="0000132A">
      <w:pPr>
        <w:spacing w:after="120" w:line="320" w:lineRule="exact"/>
        <w:jc w:val="both"/>
        <w:rPr>
          <w:szCs w:val="24"/>
        </w:rPr>
      </w:pPr>
      <w:r w:rsidRPr="003C0744">
        <w:rPr>
          <w:sz w:val="24"/>
          <w:szCs w:val="24"/>
        </w:rPr>
        <w:t>Sécuriser et approfondir les notions fondamentales entrevues en 1</w:t>
      </w:r>
      <w:r w:rsidRPr="004773F9">
        <w:rPr>
          <w:sz w:val="24"/>
          <w:szCs w:val="24"/>
          <w:vertAlign w:val="superscript"/>
        </w:rPr>
        <w:t>ère</w:t>
      </w:r>
      <w:r w:rsidRPr="003C0744">
        <w:rPr>
          <w:sz w:val="24"/>
          <w:szCs w:val="24"/>
        </w:rPr>
        <w:t xml:space="preserve"> année PACES. Transmettre un minimum de culture physico-chimique et chimique sur les principaux éléments et leurs composés majeurs. </w:t>
      </w:r>
      <w:r>
        <w:t xml:space="preserve">La classification périodique sert de trame pour introduire les propriétés principales des éléments et de leurs composés d’importance majeure dans les processus biochimiques et physiologiques ou bien de leur toxicité. </w:t>
      </w:r>
      <w:r w:rsidR="00C51FB6" w:rsidRPr="00C51FB6">
        <w:rPr>
          <w:szCs w:val="24"/>
        </w:rPr>
        <w:t>Permettre à l'étudiant d'appréhender les équilibres en solution afin de le préparer aux enseignements qui nécessitent la connaissance des phénomènes en solution.</w:t>
      </w:r>
    </w:p>
    <w:p w:rsidR="00590D1E" w:rsidRPr="00691FFE" w:rsidRDefault="00590D1E">
      <w:pPr>
        <w:rPr>
          <w:b/>
          <w:sz w:val="24"/>
          <w:szCs w:val="24"/>
        </w:rPr>
      </w:pPr>
      <w:r w:rsidRPr="00691FFE">
        <w:rPr>
          <w:b/>
          <w:sz w:val="24"/>
          <w:szCs w:val="24"/>
        </w:rPr>
        <w:t>Descriptifs des enseignements, des intervenants et découpage horaire</w:t>
      </w:r>
    </w:p>
    <w:p w:rsidR="00C51FB6" w:rsidRDefault="00C5456F" w:rsidP="00741F5E">
      <w:pPr>
        <w:numPr>
          <w:ilvl w:val="0"/>
          <w:numId w:val="1"/>
        </w:numPr>
        <w:jc w:val="both"/>
        <w:rPr>
          <w:bCs/>
        </w:rPr>
      </w:pPr>
      <w:r>
        <w:rPr>
          <w:b/>
          <w:bCs/>
        </w:rPr>
        <w:t>Les éléments minéraux essentiels en santé et dans l’environnement (2 h CM, 6 h ED)</w:t>
      </w:r>
    </w:p>
    <w:p w:rsidR="0000132A" w:rsidRDefault="0000132A" w:rsidP="0000132A">
      <w:pPr>
        <w:ind w:left="414"/>
        <w:jc w:val="both"/>
        <w:rPr>
          <w:bCs/>
        </w:rPr>
      </w:pPr>
      <w:r>
        <w:t>Classification périodique : g</w:t>
      </w:r>
      <w:r w:rsidRPr="0000132A">
        <w:t>rands groupes d’éléments et propriétés générales. Notion d’élément essentiel. L’élément hydrogène.</w:t>
      </w:r>
      <w:r>
        <w:t xml:space="preserve"> </w:t>
      </w:r>
      <w:r w:rsidRPr="0000132A">
        <w:t>Notions de nomenclature. Éléments oxygène, soufre et sélénium: propriétés, composés principaux, intérêts biologiques</w:t>
      </w:r>
      <w:r>
        <w:t xml:space="preserve">. </w:t>
      </w:r>
      <w:r w:rsidRPr="0000132A">
        <w:t>Caractères principaux des éléments IIIA</w:t>
      </w:r>
      <w:r>
        <w:t>,</w:t>
      </w:r>
      <w:r w:rsidRPr="0000132A">
        <w:t xml:space="preserve"> IVA </w:t>
      </w:r>
      <w:r>
        <w:t xml:space="preserve">et VA. </w:t>
      </w:r>
      <w:r w:rsidRPr="0000132A">
        <w:t>Métaux alcalins et alcalino-terreux: propriétés générales.</w:t>
      </w:r>
      <w:r>
        <w:t xml:space="preserve"> </w:t>
      </w:r>
      <w:r w:rsidRPr="0000132A">
        <w:t>Les halogènes: les éléments, les oxydes et les acides, intérêts biologiques.</w:t>
      </w:r>
    </w:p>
    <w:p w:rsidR="00C51FB6" w:rsidRDefault="00C5456F" w:rsidP="00C51FB6">
      <w:pPr>
        <w:numPr>
          <w:ilvl w:val="0"/>
          <w:numId w:val="1"/>
        </w:numPr>
        <w:rPr>
          <w:bCs/>
        </w:rPr>
      </w:pPr>
      <w:r>
        <w:rPr>
          <w:b/>
          <w:bCs/>
        </w:rPr>
        <w:t xml:space="preserve">Application des équilibres en </w:t>
      </w:r>
      <w:r w:rsidR="00C51FB6" w:rsidRPr="00AC535F">
        <w:rPr>
          <w:b/>
          <w:bCs/>
        </w:rPr>
        <w:t>solutions (</w:t>
      </w:r>
      <w:r>
        <w:rPr>
          <w:b/>
          <w:bCs/>
        </w:rPr>
        <w:t xml:space="preserve">4 </w:t>
      </w:r>
      <w:r w:rsidR="00C51FB6" w:rsidRPr="00AC535F">
        <w:rPr>
          <w:b/>
          <w:bCs/>
        </w:rPr>
        <w:t>h</w:t>
      </w:r>
      <w:r w:rsidR="001A01F4">
        <w:rPr>
          <w:b/>
          <w:bCs/>
        </w:rPr>
        <w:t xml:space="preserve"> CM; </w:t>
      </w:r>
      <w:r w:rsidR="00E5209B">
        <w:rPr>
          <w:b/>
          <w:bCs/>
        </w:rPr>
        <w:t>4,5</w:t>
      </w:r>
      <w:r w:rsidR="001A01F4">
        <w:rPr>
          <w:b/>
          <w:bCs/>
        </w:rPr>
        <w:t xml:space="preserve"> h ED)</w:t>
      </w:r>
      <w:r w:rsidR="00C51FB6" w:rsidRPr="00AC535F">
        <w:rPr>
          <w:b/>
          <w:bCs/>
        </w:rPr>
        <w:t>) :</w:t>
      </w:r>
      <w:r w:rsidR="00C51FB6" w:rsidRPr="00AC535F">
        <w:rPr>
          <w:bCs/>
        </w:rPr>
        <w:t xml:space="preserve"> </w:t>
      </w:r>
    </w:p>
    <w:p w:rsidR="00C51FB6" w:rsidRDefault="001A01F4" w:rsidP="0000132A">
      <w:pPr>
        <w:ind w:left="414"/>
        <w:jc w:val="both"/>
        <w:rPr>
          <w:bCs/>
        </w:rPr>
      </w:pPr>
      <w:r>
        <w:rPr>
          <w:bCs/>
        </w:rPr>
        <w:t>Équilibres</w:t>
      </w:r>
      <w:r w:rsidR="0000132A">
        <w:rPr>
          <w:bCs/>
        </w:rPr>
        <w:t xml:space="preserve"> acide-base et d'</w:t>
      </w:r>
      <w:proofErr w:type="spellStart"/>
      <w:r w:rsidR="0000132A">
        <w:rPr>
          <w:bCs/>
        </w:rPr>
        <w:t>oxydo-réduction</w:t>
      </w:r>
      <w:proofErr w:type="spellEnd"/>
      <w:r w:rsidR="0000132A">
        <w:rPr>
          <w:bCs/>
        </w:rPr>
        <w:t xml:space="preserve"> : applications aux dosages. </w:t>
      </w:r>
      <w:r>
        <w:rPr>
          <w:bCs/>
        </w:rPr>
        <w:t xml:space="preserve">Importance </w:t>
      </w:r>
      <w:r w:rsidR="000A0AC0">
        <w:rPr>
          <w:bCs/>
        </w:rPr>
        <w:t xml:space="preserve">de ces équilibres </w:t>
      </w:r>
      <w:r w:rsidR="0000132A">
        <w:rPr>
          <w:bCs/>
        </w:rPr>
        <w:t xml:space="preserve">en biologie et </w:t>
      </w:r>
      <w:r w:rsidR="000A0AC0">
        <w:rPr>
          <w:bCs/>
        </w:rPr>
        <w:t>pour la préparation de solutions tampons et de réactifs</w:t>
      </w:r>
      <w:r>
        <w:rPr>
          <w:bCs/>
        </w:rPr>
        <w:t>.</w:t>
      </w:r>
    </w:p>
    <w:p w:rsidR="00684B6F" w:rsidRPr="0000132A" w:rsidRDefault="001A01F4" w:rsidP="00A65836">
      <w:pPr>
        <w:jc w:val="both"/>
      </w:pPr>
      <w:r w:rsidRPr="0000132A">
        <w:rPr>
          <w:b/>
        </w:rPr>
        <w:t>Intervenants :</w:t>
      </w:r>
      <w:r w:rsidRPr="0000132A">
        <w:t xml:space="preserve"> Christine HERRENKNECHT</w:t>
      </w:r>
      <w:r w:rsidR="0000132A">
        <w:t xml:space="preserve"> (PU)</w:t>
      </w:r>
      <w:r w:rsidRPr="0000132A">
        <w:t>, Dominique LE FORESTIER</w:t>
      </w:r>
      <w:r w:rsidR="0000132A">
        <w:t xml:space="preserve"> (MCU)</w:t>
      </w:r>
      <w:r w:rsidRPr="0000132A">
        <w:t xml:space="preserve">, </w:t>
      </w:r>
      <w:r w:rsidR="001C6057">
        <w:t>Isabelle OURLIAC-GARNIER</w:t>
      </w:r>
      <w:r w:rsidR="0000132A">
        <w:t xml:space="preserve"> (MCU)</w:t>
      </w:r>
      <w:r w:rsidRPr="0000132A">
        <w:t xml:space="preserve">, </w:t>
      </w:r>
      <w:r w:rsidR="0000132A" w:rsidRPr="0000132A">
        <w:t>Gilles BARNATHAN (PU) et Gaëtane WIELGOSZ-COLLIN (MCU)</w:t>
      </w:r>
    </w:p>
    <w:p w:rsidR="00684B6F" w:rsidRDefault="00684B6F">
      <w:pPr>
        <w:rPr>
          <w:b/>
          <w:sz w:val="24"/>
          <w:szCs w:val="24"/>
        </w:rPr>
      </w:pPr>
      <w:r w:rsidRPr="00691FFE">
        <w:rPr>
          <w:b/>
          <w:sz w:val="24"/>
          <w:szCs w:val="24"/>
        </w:rPr>
        <w:t>Modalités d’évaluation</w:t>
      </w:r>
      <w:r w:rsidR="000E4ED8">
        <w:rPr>
          <w:b/>
          <w:sz w:val="24"/>
          <w:szCs w:val="24"/>
        </w:rPr>
        <w:t> :</w:t>
      </w:r>
    </w:p>
    <w:p w:rsidR="002F03C1" w:rsidRPr="0000132A" w:rsidRDefault="0000132A">
      <w:r w:rsidRPr="0000132A">
        <w:t>Examen écrit  de 1h30</w:t>
      </w:r>
    </w:p>
    <w:p w:rsidR="00684B6F" w:rsidRDefault="00684B6F" w:rsidP="00011FCF">
      <w:pPr>
        <w:keepNext/>
        <w:rPr>
          <w:sz w:val="24"/>
          <w:szCs w:val="24"/>
        </w:rPr>
      </w:pPr>
      <w:r w:rsidRPr="00691FFE">
        <w:rPr>
          <w:b/>
          <w:sz w:val="24"/>
          <w:szCs w:val="24"/>
        </w:rPr>
        <w:t xml:space="preserve">Pré-requis : </w:t>
      </w:r>
    </w:p>
    <w:p w:rsidR="000E426D" w:rsidRDefault="00741F5E" w:rsidP="00741F5E">
      <w:pPr>
        <w:jc w:val="both"/>
        <w:rPr>
          <w:sz w:val="24"/>
          <w:szCs w:val="24"/>
        </w:rPr>
      </w:pPr>
      <w:r w:rsidRPr="000E4ED8">
        <w:rPr>
          <w:sz w:val="24"/>
          <w:szCs w:val="24"/>
        </w:rPr>
        <w:t>Les notions de chimie générale acquises en 1</w:t>
      </w:r>
      <w:r w:rsidRPr="003B7977">
        <w:rPr>
          <w:sz w:val="24"/>
          <w:szCs w:val="24"/>
          <w:vertAlign w:val="superscript"/>
        </w:rPr>
        <w:t>ère</w:t>
      </w:r>
      <w:r w:rsidRPr="000E4ED8">
        <w:rPr>
          <w:sz w:val="24"/>
          <w:szCs w:val="24"/>
        </w:rPr>
        <w:t xml:space="preserve"> année constituent les bases de connaissance absolument indispensables : structure et propriétés de l’atome et des édifices poly-atomiques, thermodynamique chimique et lois sur les équilibres, équilibres en milieux aqueux (réactions acido-basiques et oxydoréduction), cinétique chimique fondamentale.</w:t>
      </w:r>
    </w:p>
    <w:p w:rsidR="000E426D" w:rsidRDefault="000E426D" w:rsidP="000E426D">
      <w:pPr>
        <w:tabs>
          <w:tab w:val="left" w:pos="2410"/>
          <w:tab w:val="left" w:pos="7230"/>
        </w:tabs>
        <w:spacing w:after="0" w:line="240" w:lineRule="auto"/>
        <w:rPr>
          <w:sz w:val="36"/>
          <w:szCs w:val="36"/>
        </w:rPr>
      </w:pPr>
      <w:r w:rsidRPr="00691FFE">
        <w:rPr>
          <w:b/>
          <w:sz w:val="36"/>
          <w:szCs w:val="36"/>
        </w:rPr>
        <w:lastRenderedPageBreak/>
        <w:t>Intitulé de l’EC</w:t>
      </w:r>
      <w:r>
        <w:t xml:space="preserve"> : </w:t>
      </w:r>
      <w:r>
        <w:rPr>
          <w:b/>
          <w:color w:val="7F7F7F"/>
          <w:sz w:val="32"/>
        </w:rPr>
        <w:t>Éléments de base pharmaceutiques</w:t>
      </w:r>
      <w:r>
        <w:tab/>
      </w:r>
      <w:r w:rsidRPr="00691FFE">
        <w:rPr>
          <w:sz w:val="36"/>
          <w:szCs w:val="36"/>
        </w:rPr>
        <w:t>N°</w:t>
      </w:r>
      <w:r>
        <w:rPr>
          <w:sz w:val="36"/>
          <w:szCs w:val="36"/>
        </w:rPr>
        <w:t xml:space="preserve"> S3-UEC 1</w:t>
      </w:r>
    </w:p>
    <w:p w:rsidR="000E426D" w:rsidRDefault="000E426D" w:rsidP="000E426D">
      <w:pPr>
        <w:tabs>
          <w:tab w:val="center" w:pos="4253"/>
          <w:tab w:val="left" w:pos="6379"/>
        </w:tabs>
        <w:spacing w:line="240" w:lineRule="auto"/>
        <w:rPr>
          <w:sz w:val="36"/>
          <w:szCs w:val="36"/>
        </w:rPr>
      </w:pPr>
      <w:r>
        <w:rPr>
          <w:sz w:val="36"/>
          <w:szCs w:val="36"/>
        </w:rPr>
        <w:t xml:space="preserve"> </w:t>
      </w:r>
      <w:r>
        <w:rPr>
          <w:sz w:val="36"/>
          <w:szCs w:val="36"/>
        </w:rPr>
        <w:tab/>
      </w:r>
      <w:r w:rsidRPr="004C16FA">
        <w:rPr>
          <w:b/>
          <w:color w:val="7F7F7F"/>
          <w:sz w:val="32"/>
          <w:szCs w:val="36"/>
        </w:rPr>
        <w:t xml:space="preserve">Chimie </w:t>
      </w:r>
      <w:r>
        <w:rPr>
          <w:b/>
          <w:color w:val="7F7F7F"/>
          <w:sz w:val="32"/>
          <w:szCs w:val="36"/>
        </w:rPr>
        <w:t>Organique</w:t>
      </w:r>
      <w:r>
        <w:rPr>
          <w:sz w:val="36"/>
          <w:szCs w:val="36"/>
        </w:rPr>
        <w:tab/>
      </w:r>
    </w:p>
    <w:p w:rsidR="000E426D" w:rsidRDefault="000E426D" w:rsidP="000E426D"/>
    <w:p w:rsidR="000E426D" w:rsidRPr="00691FFE" w:rsidRDefault="000E426D" w:rsidP="000E426D">
      <w:pPr>
        <w:rPr>
          <w:b/>
          <w:sz w:val="24"/>
          <w:szCs w:val="24"/>
        </w:rPr>
      </w:pPr>
      <w:r w:rsidRPr="00691FFE">
        <w:rPr>
          <w:b/>
          <w:sz w:val="24"/>
          <w:szCs w:val="24"/>
        </w:rPr>
        <w:t>Répartition des heures d’enseignement</w:t>
      </w:r>
    </w:p>
    <w:tbl>
      <w:tblPr>
        <w:tblW w:w="0" w:type="auto"/>
        <w:tblBorders>
          <w:top w:val="single" w:sz="8" w:space="0" w:color="4F81BD"/>
          <w:bottom w:val="single" w:sz="8" w:space="0" w:color="4F81BD"/>
        </w:tblBorders>
        <w:tblLook w:val="04A0"/>
      </w:tblPr>
      <w:tblGrid>
        <w:gridCol w:w="917"/>
        <w:gridCol w:w="906"/>
        <w:gridCol w:w="911"/>
        <w:gridCol w:w="911"/>
        <w:gridCol w:w="906"/>
        <w:gridCol w:w="906"/>
        <w:gridCol w:w="1111"/>
        <w:gridCol w:w="906"/>
        <w:gridCol w:w="907"/>
        <w:gridCol w:w="907"/>
      </w:tblGrid>
      <w:tr w:rsidR="000E426D" w:rsidRPr="000F5B11" w:rsidTr="00525CA2">
        <w:trPr>
          <w:trHeight w:val="245"/>
        </w:trPr>
        <w:tc>
          <w:tcPr>
            <w:tcW w:w="1823"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CM    </w:t>
            </w:r>
            <w:r>
              <w:rPr>
                <w:b/>
                <w:bCs/>
                <w:color w:val="365F91"/>
              </w:rPr>
              <w:t xml:space="preserve"> </w:t>
            </w:r>
            <w:r w:rsidRPr="000F5B11">
              <w:rPr>
                <w:b/>
                <w:bCs/>
                <w:color w:val="365F91"/>
              </w:rPr>
              <w:t>h</w:t>
            </w:r>
            <w:r w:rsidRPr="000F5B11">
              <w:rPr>
                <w:b/>
                <w:bCs/>
                <w:color w:val="365F91"/>
              </w:rPr>
              <w:tab/>
              <w:t xml:space="preserve">    </w:t>
            </w:r>
          </w:p>
        </w:tc>
        <w:tc>
          <w:tcPr>
            <w:tcW w:w="1822"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Pr>
                <w:b/>
                <w:bCs/>
                <w:color w:val="365F91"/>
              </w:rPr>
              <w:t>ED    7.5</w:t>
            </w:r>
            <w:r w:rsidRPr="000F5B11">
              <w:rPr>
                <w:b/>
                <w:bCs/>
                <w:color w:val="365F91"/>
              </w:rPr>
              <w:t xml:space="preserve"> h</w:t>
            </w:r>
          </w:p>
        </w:tc>
        <w:tc>
          <w:tcPr>
            <w:tcW w:w="1812"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Pr>
                <w:b/>
                <w:bCs/>
                <w:color w:val="365F91"/>
              </w:rPr>
              <w:t xml:space="preserve">TP      </w:t>
            </w:r>
            <w:r w:rsidRPr="000F5B11">
              <w:rPr>
                <w:b/>
                <w:bCs/>
                <w:color w:val="365F91"/>
              </w:rPr>
              <w:t xml:space="preserve">          h</w:t>
            </w:r>
          </w:p>
        </w:tc>
        <w:tc>
          <w:tcPr>
            <w:tcW w:w="2017"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travail personnel : </w:t>
            </w:r>
            <w:r w:rsidRPr="000F5B11">
              <w:rPr>
                <w:b/>
                <w:bCs/>
                <w:color w:val="365F91"/>
              </w:rPr>
              <w:tab/>
            </w:r>
          </w:p>
        </w:tc>
        <w:tc>
          <w:tcPr>
            <w:tcW w:w="1814"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Pr>
                <w:b/>
                <w:bCs/>
                <w:color w:val="365F91"/>
              </w:rPr>
              <w:t xml:space="preserve">    </w:t>
            </w:r>
            <w:r w:rsidRPr="000F5B11">
              <w:rPr>
                <w:b/>
                <w:bCs/>
                <w:color w:val="365F91"/>
              </w:rPr>
              <w:t xml:space="preserve"> </w:t>
            </w:r>
            <w:r>
              <w:rPr>
                <w:b/>
                <w:bCs/>
                <w:color w:val="365F91"/>
              </w:rPr>
              <w:t>6</w:t>
            </w:r>
            <w:r w:rsidRPr="000F5B11">
              <w:rPr>
                <w:b/>
                <w:bCs/>
                <w:color w:val="365F91"/>
              </w:rPr>
              <w:t xml:space="preserve">   h</w:t>
            </w:r>
          </w:p>
        </w:tc>
      </w:tr>
      <w:tr w:rsidR="000E426D" w:rsidRPr="000F5B11" w:rsidTr="00525CA2">
        <w:trPr>
          <w:trHeight w:val="110"/>
        </w:trPr>
        <w:tc>
          <w:tcPr>
            <w:tcW w:w="917" w:type="dxa"/>
            <w:tcBorders>
              <w:left w:val="nil"/>
              <w:right w:val="nil"/>
            </w:tcBorders>
            <w:shd w:val="clear" w:color="auto" w:fill="D3DFEE"/>
          </w:tcPr>
          <w:p w:rsidR="000E426D" w:rsidRPr="000F5B11" w:rsidRDefault="000E426D" w:rsidP="00525CA2">
            <w:pPr>
              <w:spacing w:after="0" w:line="240" w:lineRule="auto"/>
              <w:rPr>
                <w:b/>
                <w:bCs/>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11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7"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7" w:type="dxa"/>
            <w:tcBorders>
              <w:left w:val="nil"/>
              <w:right w:val="nil"/>
            </w:tcBorders>
            <w:shd w:val="clear" w:color="auto" w:fill="D3DFEE"/>
          </w:tcPr>
          <w:p w:rsidR="000E426D" w:rsidRPr="000F5B11" w:rsidRDefault="000E426D" w:rsidP="00525CA2">
            <w:pPr>
              <w:spacing w:after="0" w:line="240" w:lineRule="auto"/>
              <w:rPr>
                <w:color w:val="365F91"/>
              </w:rPr>
            </w:pPr>
          </w:p>
        </w:tc>
      </w:tr>
    </w:tbl>
    <w:p w:rsidR="000E426D" w:rsidRPr="00590D1E" w:rsidRDefault="000E426D" w:rsidP="000E426D">
      <w:r>
        <w:tab/>
      </w:r>
      <w:r w:rsidRPr="00590D1E">
        <w:t xml:space="preserve"> </w:t>
      </w:r>
    </w:p>
    <w:p w:rsidR="000E426D" w:rsidRDefault="000E426D" w:rsidP="000E426D">
      <w:pPr>
        <w:rPr>
          <w:b/>
          <w:sz w:val="24"/>
          <w:szCs w:val="24"/>
        </w:rPr>
      </w:pPr>
      <w:r w:rsidRPr="00691FFE">
        <w:rPr>
          <w:b/>
          <w:sz w:val="24"/>
          <w:szCs w:val="24"/>
        </w:rPr>
        <w:t>Objectifs pédagogiques :</w:t>
      </w:r>
    </w:p>
    <w:p w:rsidR="000E426D" w:rsidRDefault="000E426D" w:rsidP="000E426D">
      <w:pPr>
        <w:jc w:val="both"/>
        <w:rPr>
          <w:szCs w:val="24"/>
        </w:rPr>
      </w:pPr>
      <w:r w:rsidRPr="00C51FB6">
        <w:rPr>
          <w:szCs w:val="24"/>
        </w:rPr>
        <w:t xml:space="preserve">Permettre à l'étudiant d'appréhender </w:t>
      </w:r>
      <w:r>
        <w:rPr>
          <w:szCs w:val="24"/>
        </w:rPr>
        <w:t>la réactivité des molécules polyfonctionnelles.</w:t>
      </w:r>
    </w:p>
    <w:p w:rsidR="000E426D" w:rsidRDefault="000E426D" w:rsidP="000E426D">
      <w:pPr>
        <w:rPr>
          <w:b/>
          <w:sz w:val="24"/>
          <w:szCs w:val="24"/>
        </w:rPr>
      </w:pPr>
      <w:r w:rsidRPr="00691FFE">
        <w:rPr>
          <w:b/>
          <w:sz w:val="24"/>
          <w:szCs w:val="24"/>
        </w:rPr>
        <w:t>Descriptifs des enseignements, des intervenants et découpage horaire</w:t>
      </w:r>
    </w:p>
    <w:p w:rsidR="000E426D" w:rsidRDefault="000E426D" w:rsidP="000E426D">
      <w:pPr>
        <w:jc w:val="both"/>
        <w:rPr>
          <w:sz w:val="24"/>
          <w:szCs w:val="24"/>
        </w:rPr>
      </w:pPr>
      <w:r>
        <w:rPr>
          <w:sz w:val="24"/>
          <w:szCs w:val="24"/>
        </w:rPr>
        <w:t>5</w:t>
      </w:r>
      <w:r w:rsidRPr="00B66B99">
        <w:rPr>
          <w:sz w:val="24"/>
          <w:szCs w:val="24"/>
        </w:rPr>
        <w:t xml:space="preserve"> sé</w:t>
      </w:r>
      <w:r>
        <w:rPr>
          <w:sz w:val="24"/>
          <w:szCs w:val="24"/>
        </w:rPr>
        <w:t>an</w:t>
      </w:r>
      <w:r w:rsidRPr="00B66B99">
        <w:rPr>
          <w:sz w:val="24"/>
          <w:szCs w:val="24"/>
        </w:rPr>
        <w:t>ces d’enseignement dirigé</w:t>
      </w:r>
      <w:r>
        <w:rPr>
          <w:sz w:val="24"/>
          <w:szCs w:val="24"/>
        </w:rPr>
        <w:t xml:space="preserve"> pour aborder : les dérivés benzéniques </w:t>
      </w:r>
      <w:proofErr w:type="spellStart"/>
      <w:r>
        <w:rPr>
          <w:sz w:val="24"/>
          <w:szCs w:val="24"/>
        </w:rPr>
        <w:t>polysubstitués</w:t>
      </w:r>
      <w:proofErr w:type="spellEnd"/>
      <w:r>
        <w:rPr>
          <w:sz w:val="24"/>
          <w:szCs w:val="24"/>
        </w:rPr>
        <w:t xml:space="preserve"> (seuls les monosubstitués sont vus en PACES), les composés </w:t>
      </w:r>
      <w:proofErr w:type="spellStart"/>
      <w:r>
        <w:rPr>
          <w:sz w:val="24"/>
          <w:szCs w:val="24"/>
        </w:rPr>
        <w:t>dicétoniques</w:t>
      </w:r>
      <w:proofErr w:type="spellEnd"/>
      <w:r>
        <w:rPr>
          <w:sz w:val="24"/>
          <w:szCs w:val="24"/>
        </w:rPr>
        <w:t xml:space="preserve"> et </w:t>
      </w:r>
      <w:proofErr w:type="spellStart"/>
      <w:r>
        <w:rPr>
          <w:sz w:val="24"/>
          <w:szCs w:val="24"/>
        </w:rPr>
        <w:t>dialdéhydiques</w:t>
      </w:r>
      <w:proofErr w:type="spellEnd"/>
      <w:r>
        <w:rPr>
          <w:sz w:val="24"/>
          <w:szCs w:val="24"/>
        </w:rPr>
        <w:t xml:space="preserve">, les </w:t>
      </w:r>
      <w:proofErr w:type="spellStart"/>
      <w:r>
        <w:rPr>
          <w:sz w:val="24"/>
          <w:szCs w:val="24"/>
        </w:rPr>
        <w:t>hydroxyacides</w:t>
      </w:r>
      <w:proofErr w:type="spellEnd"/>
      <w:r>
        <w:rPr>
          <w:sz w:val="24"/>
          <w:szCs w:val="24"/>
        </w:rPr>
        <w:t xml:space="preserve">, les </w:t>
      </w:r>
      <w:proofErr w:type="spellStart"/>
      <w:r>
        <w:rPr>
          <w:sz w:val="24"/>
          <w:szCs w:val="24"/>
        </w:rPr>
        <w:t>amino</w:t>
      </w:r>
      <w:proofErr w:type="spellEnd"/>
      <w:r>
        <w:rPr>
          <w:sz w:val="24"/>
          <w:szCs w:val="24"/>
        </w:rPr>
        <w:t xml:space="preserve"> acides, les acides et esters cétoniques, les aldéhydes et cétones </w:t>
      </w:r>
      <w:r w:rsidRPr="00B350C8">
        <w:rPr>
          <w:rFonts w:ascii="Symbol" w:hAnsi="Symbol"/>
          <w:sz w:val="24"/>
          <w:szCs w:val="24"/>
        </w:rPr>
        <w:t></w:t>
      </w:r>
      <w:proofErr w:type="gramStart"/>
      <w:r>
        <w:rPr>
          <w:sz w:val="24"/>
          <w:szCs w:val="24"/>
        </w:rPr>
        <w:t>,</w:t>
      </w:r>
      <w:r w:rsidRPr="00B350C8">
        <w:rPr>
          <w:rFonts w:ascii="Symbol" w:hAnsi="Symbol"/>
          <w:sz w:val="24"/>
          <w:szCs w:val="24"/>
        </w:rPr>
        <w:t></w:t>
      </w:r>
      <w:proofErr w:type="gramEnd"/>
      <w:r>
        <w:rPr>
          <w:sz w:val="24"/>
          <w:szCs w:val="24"/>
        </w:rPr>
        <w:t xml:space="preserve">-insaturés. </w:t>
      </w:r>
    </w:p>
    <w:p w:rsidR="000E426D" w:rsidRPr="00B66B99" w:rsidRDefault="000E426D" w:rsidP="000E426D">
      <w:pPr>
        <w:jc w:val="both"/>
        <w:rPr>
          <w:sz w:val="24"/>
          <w:szCs w:val="24"/>
        </w:rPr>
      </w:pPr>
    </w:p>
    <w:p w:rsidR="000E426D" w:rsidRDefault="000E426D" w:rsidP="000E426D">
      <w:r w:rsidRPr="001A01F4">
        <w:rPr>
          <w:b/>
        </w:rPr>
        <w:t>Intervenants :</w:t>
      </w:r>
      <w:r>
        <w:t xml:space="preserve"> Muriel DUFLOS, Pascal Marchand, Cédric Logé.</w:t>
      </w:r>
    </w:p>
    <w:p w:rsidR="000E426D" w:rsidRDefault="000E426D" w:rsidP="000E426D">
      <w:pPr>
        <w:rPr>
          <w:b/>
          <w:sz w:val="24"/>
          <w:szCs w:val="24"/>
        </w:rPr>
      </w:pPr>
    </w:p>
    <w:p w:rsidR="000E426D" w:rsidRDefault="000E426D" w:rsidP="000E426D">
      <w:pPr>
        <w:rPr>
          <w:b/>
          <w:sz w:val="24"/>
          <w:szCs w:val="24"/>
        </w:rPr>
      </w:pPr>
      <w:r w:rsidRPr="00691FFE">
        <w:rPr>
          <w:b/>
          <w:sz w:val="24"/>
          <w:szCs w:val="24"/>
        </w:rPr>
        <w:t>Modalités d’évaluation</w:t>
      </w:r>
      <w:r>
        <w:rPr>
          <w:b/>
          <w:sz w:val="24"/>
          <w:szCs w:val="24"/>
        </w:rPr>
        <w:t> :</w:t>
      </w:r>
    </w:p>
    <w:p w:rsidR="000E426D" w:rsidRPr="00B350C8" w:rsidRDefault="000E426D" w:rsidP="000E426D">
      <w:r w:rsidRPr="00B350C8">
        <w:t>Contrôle continu</w:t>
      </w:r>
      <w:r>
        <w:t xml:space="preserve"> – 1 examen écrit d’1h. </w:t>
      </w:r>
    </w:p>
    <w:p w:rsidR="000E426D" w:rsidRDefault="000E426D" w:rsidP="000E426D">
      <w:pPr>
        <w:rPr>
          <w:b/>
        </w:rPr>
      </w:pPr>
    </w:p>
    <w:p w:rsidR="000E426D" w:rsidRDefault="000E426D" w:rsidP="000E426D">
      <w:pPr>
        <w:rPr>
          <w:sz w:val="24"/>
          <w:szCs w:val="24"/>
        </w:rPr>
      </w:pPr>
      <w:r w:rsidRPr="00691FFE">
        <w:rPr>
          <w:b/>
          <w:sz w:val="24"/>
          <w:szCs w:val="24"/>
        </w:rPr>
        <w:t xml:space="preserve">Pré-requis : </w:t>
      </w:r>
    </w:p>
    <w:p w:rsidR="000E426D" w:rsidRPr="000E4ED8" w:rsidRDefault="000E426D" w:rsidP="000E426D">
      <w:pPr>
        <w:jc w:val="both"/>
        <w:rPr>
          <w:sz w:val="24"/>
          <w:szCs w:val="24"/>
        </w:rPr>
      </w:pPr>
      <w:r>
        <w:rPr>
          <w:sz w:val="24"/>
          <w:szCs w:val="24"/>
        </w:rPr>
        <w:t xml:space="preserve">Les cours de chimie organique de PACES tronc commun et de l’UE spécifique pharmacie « bases chimiques » (effets électroniques, étude et réactivité des fonctions, mécanismes réactionnels) </w:t>
      </w:r>
    </w:p>
    <w:p w:rsidR="000E426D" w:rsidRDefault="000E426D">
      <w:pPr>
        <w:spacing w:after="0" w:line="240" w:lineRule="auto"/>
        <w:rPr>
          <w:sz w:val="24"/>
          <w:szCs w:val="24"/>
        </w:rPr>
      </w:pPr>
      <w:r>
        <w:rPr>
          <w:sz w:val="24"/>
          <w:szCs w:val="24"/>
        </w:rPr>
        <w:br w:type="page"/>
      </w:r>
    </w:p>
    <w:p w:rsidR="000E426D" w:rsidRDefault="000E426D" w:rsidP="000E426D">
      <w:pPr>
        <w:rPr>
          <w:sz w:val="36"/>
          <w:szCs w:val="36"/>
        </w:rPr>
      </w:pPr>
      <w:r w:rsidRPr="00691FFE">
        <w:rPr>
          <w:b/>
          <w:sz w:val="36"/>
          <w:szCs w:val="36"/>
        </w:rPr>
        <w:lastRenderedPageBreak/>
        <w:t>Intitulé de l’EC</w:t>
      </w:r>
      <w:r>
        <w:t xml:space="preserve"> :   </w:t>
      </w:r>
      <w:r w:rsidRPr="00D560CD">
        <w:rPr>
          <w:b/>
        </w:rPr>
        <w:t xml:space="preserve">UEC 1 </w:t>
      </w:r>
      <w:r w:rsidRPr="00D560CD">
        <w:rPr>
          <w:b/>
          <w:sz w:val="24"/>
          <w:szCs w:val="24"/>
        </w:rPr>
        <w:t>Eléments de Base pharmaceutiques</w:t>
      </w:r>
      <w:r w:rsidRPr="002B50DF">
        <w:rPr>
          <w:sz w:val="24"/>
          <w:szCs w:val="24"/>
        </w:rPr>
        <w:tab/>
      </w:r>
      <w:r>
        <w:tab/>
      </w:r>
      <w:r w:rsidRPr="00691FFE">
        <w:rPr>
          <w:sz w:val="36"/>
          <w:szCs w:val="36"/>
        </w:rPr>
        <w:t>N°</w:t>
      </w:r>
      <w:r>
        <w:rPr>
          <w:sz w:val="36"/>
          <w:szCs w:val="36"/>
        </w:rPr>
        <w:t xml:space="preserve"> S3-</w:t>
      </w:r>
    </w:p>
    <w:p w:rsidR="000E426D" w:rsidRDefault="000E426D" w:rsidP="000E426D"/>
    <w:p w:rsidR="000E426D" w:rsidRPr="00691FFE" w:rsidRDefault="000E426D" w:rsidP="000E426D">
      <w:pPr>
        <w:rPr>
          <w:b/>
          <w:sz w:val="24"/>
          <w:szCs w:val="24"/>
        </w:rPr>
      </w:pPr>
      <w:r w:rsidRPr="00691FFE">
        <w:rPr>
          <w:b/>
          <w:sz w:val="24"/>
          <w:szCs w:val="24"/>
        </w:rPr>
        <w:t>Répartition des heures d’enseignement</w:t>
      </w:r>
    </w:p>
    <w:tbl>
      <w:tblPr>
        <w:tblW w:w="0" w:type="auto"/>
        <w:tblBorders>
          <w:top w:val="single" w:sz="8" w:space="0" w:color="4F81BD"/>
          <w:bottom w:val="single" w:sz="8" w:space="0" w:color="4F81BD"/>
        </w:tblBorders>
        <w:tblLook w:val="04A0"/>
      </w:tblPr>
      <w:tblGrid>
        <w:gridCol w:w="917"/>
        <w:gridCol w:w="906"/>
        <w:gridCol w:w="911"/>
        <w:gridCol w:w="911"/>
        <w:gridCol w:w="906"/>
        <w:gridCol w:w="906"/>
        <w:gridCol w:w="1111"/>
        <w:gridCol w:w="906"/>
        <w:gridCol w:w="907"/>
        <w:gridCol w:w="907"/>
      </w:tblGrid>
      <w:tr w:rsidR="000E426D" w:rsidRPr="000F5B11" w:rsidTr="00525CA2">
        <w:trPr>
          <w:trHeight w:val="245"/>
        </w:trPr>
        <w:tc>
          <w:tcPr>
            <w:tcW w:w="1823"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CM      </w:t>
            </w:r>
            <w:r>
              <w:rPr>
                <w:b/>
                <w:bCs/>
                <w:color w:val="365F91"/>
              </w:rPr>
              <w:t xml:space="preserve">   </w:t>
            </w:r>
            <w:r w:rsidRPr="000F5B11">
              <w:rPr>
                <w:b/>
                <w:bCs/>
                <w:color w:val="365F91"/>
              </w:rPr>
              <w:t>h</w:t>
            </w:r>
            <w:r w:rsidRPr="000F5B11">
              <w:rPr>
                <w:b/>
                <w:bCs/>
                <w:color w:val="365F91"/>
              </w:rPr>
              <w:tab/>
              <w:t xml:space="preserve">    </w:t>
            </w:r>
          </w:p>
        </w:tc>
        <w:tc>
          <w:tcPr>
            <w:tcW w:w="1822"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Pr>
                <w:b/>
                <w:bCs/>
                <w:color w:val="365F91"/>
              </w:rPr>
              <w:t xml:space="preserve">ED      </w:t>
            </w:r>
            <w:r w:rsidRPr="000F5B11">
              <w:rPr>
                <w:b/>
                <w:bCs/>
                <w:color w:val="365F91"/>
              </w:rPr>
              <w:t xml:space="preserve">         h</w:t>
            </w:r>
          </w:p>
        </w:tc>
        <w:tc>
          <w:tcPr>
            <w:tcW w:w="1812"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Pr>
                <w:b/>
                <w:bCs/>
                <w:color w:val="365F91"/>
              </w:rPr>
              <w:t>TP           12</w:t>
            </w:r>
            <w:r w:rsidRPr="000F5B11">
              <w:rPr>
                <w:b/>
                <w:bCs/>
                <w:color w:val="365F91"/>
              </w:rPr>
              <w:t xml:space="preserve"> h</w:t>
            </w:r>
          </w:p>
        </w:tc>
        <w:tc>
          <w:tcPr>
            <w:tcW w:w="2017"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travail personnel : </w:t>
            </w:r>
            <w:r w:rsidRPr="000F5B11">
              <w:rPr>
                <w:b/>
                <w:bCs/>
                <w:color w:val="365F91"/>
              </w:rPr>
              <w:tab/>
            </w:r>
          </w:p>
        </w:tc>
        <w:tc>
          <w:tcPr>
            <w:tcW w:w="1814"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Pr>
                <w:b/>
                <w:bCs/>
                <w:color w:val="365F91"/>
              </w:rPr>
              <w:t xml:space="preserve">    </w:t>
            </w:r>
            <w:r w:rsidRPr="000F5B11">
              <w:rPr>
                <w:b/>
                <w:bCs/>
                <w:color w:val="365F91"/>
              </w:rPr>
              <w:t xml:space="preserve">    h</w:t>
            </w:r>
          </w:p>
        </w:tc>
      </w:tr>
      <w:tr w:rsidR="000E426D" w:rsidRPr="000F5B11" w:rsidTr="00525CA2">
        <w:trPr>
          <w:trHeight w:val="110"/>
        </w:trPr>
        <w:tc>
          <w:tcPr>
            <w:tcW w:w="917" w:type="dxa"/>
            <w:tcBorders>
              <w:left w:val="nil"/>
              <w:right w:val="nil"/>
            </w:tcBorders>
            <w:shd w:val="clear" w:color="auto" w:fill="D3DFEE"/>
          </w:tcPr>
          <w:p w:rsidR="000E426D" w:rsidRPr="000F5B11" w:rsidRDefault="000E426D" w:rsidP="00525CA2">
            <w:pPr>
              <w:spacing w:after="0" w:line="240" w:lineRule="auto"/>
              <w:rPr>
                <w:b/>
                <w:bCs/>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11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7"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7" w:type="dxa"/>
            <w:tcBorders>
              <w:left w:val="nil"/>
              <w:right w:val="nil"/>
            </w:tcBorders>
            <w:shd w:val="clear" w:color="auto" w:fill="D3DFEE"/>
          </w:tcPr>
          <w:p w:rsidR="000E426D" w:rsidRPr="000F5B11" w:rsidRDefault="000E426D" w:rsidP="00525CA2">
            <w:pPr>
              <w:spacing w:after="0" w:line="240" w:lineRule="auto"/>
              <w:rPr>
                <w:color w:val="365F91"/>
              </w:rPr>
            </w:pPr>
          </w:p>
        </w:tc>
      </w:tr>
    </w:tbl>
    <w:p w:rsidR="000E426D" w:rsidRPr="00590D1E" w:rsidRDefault="000E426D" w:rsidP="000E426D">
      <w:r>
        <w:tab/>
      </w:r>
      <w:r w:rsidRPr="00590D1E">
        <w:t xml:space="preserve"> </w:t>
      </w:r>
    </w:p>
    <w:p w:rsidR="000E426D" w:rsidRDefault="000E426D" w:rsidP="000E426D">
      <w:pPr>
        <w:rPr>
          <w:b/>
          <w:sz w:val="24"/>
          <w:szCs w:val="24"/>
        </w:rPr>
      </w:pPr>
      <w:r w:rsidRPr="00691FFE">
        <w:rPr>
          <w:b/>
          <w:sz w:val="24"/>
          <w:szCs w:val="24"/>
        </w:rPr>
        <w:t>Objectifs pédagogiques :</w:t>
      </w:r>
    </w:p>
    <w:p w:rsidR="000E426D" w:rsidRDefault="000E426D" w:rsidP="000E426D">
      <w:pPr>
        <w:rPr>
          <w:b/>
          <w:sz w:val="24"/>
          <w:szCs w:val="24"/>
        </w:rPr>
      </w:pPr>
      <w:r>
        <w:rPr>
          <w:b/>
          <w:sz w:val="24"/>
          <w:szCs w:val="24"/>
        </w:rPr>
        <w:t>Le but des ces séances est pour l’étudiant en pharmacie de faire le point sur l’enseignement de biologie cellulaire et moléculaire du PACES et d’insister sur les notions qui lui seront utiles pour la suite des ses études pharmaceutiques. Au cours de ces séances l’étudiant se familiarisera à l’observation et à la manipulation de cultures cellulaires ainsi qu’à l’utilisation de techniques de bases de biologie moléculaire.</w:t>
      </w:r>
    </w:p>
    <w:p w:rsidR="000E426D" w:rsidRDefault="000E426D" w:rsidP="000E426D">
      <w:pPr>
        <w:rPr>
          <w:b/>
          <w:sz w:val="24"/>
          <w:szCs w:val="24"/>
        </w:rPr>
      </w:pPr>
    </w:p>
    <w:p w:rsidR="000E426D" w:rsidRPr="00691FFE" w:rsidRDefault="000E426D" w:rsidP="000E426D">
      <w:pPr>
        <w:rPr>
          <w:b/>
          <w:sz w:val="24"/>
          <w:szCs w:val="24"/>
        </w:rPr>
      </w:pPr>
      <w:r w:rsidRPr="00691FFE">
        <w:rPr>
          <w:b/>
          <w:sz w:val="24"/>
          <w:szCs w:val="24"/>
        </w:rPr>
        <w:t>Descriptifs des enseignements, des intervenants et découpage horaire</w:t>
      </w:r>
    </w:p>
    <w:p w:rsidR="000E426D" w:rsidRDefault="000E426D" w:rsidP="000E426D">
      <w:r>
        <w:rPr>
          <w:b/>
          <w:u w:val="single"/>
        </w:rPr>
        <w:t>Quatre séances de trois heures</w:t>
      </w:r>
      <w:r>
        <w:t xml:space="preserve"> (C. JACQUOT et C. ROUSSAKIS)</w:t>
      </w:r>
    </w:p>
    <w:p w:rsidR="000E426D" w:rsidRPr="00386BE8" w:rsidRDefault="000E426D" w:rsidP="000E426D">
      <w:pPr>
        <w:spacing w:line="240" w:lineRule="auto"/>
        <w:rPr>
          <w:rFonts w:ascii="Arial" w:hAnsi="Arial" w:cs="Arial"/>
          <w:sz w:val="20"/>
          <w:szCs w:val="20"/>
        </w:rPr>
      </w:pPr>
      <w:r w:rsidRPr="00386BE8">
        <w:rPr>
          <w:rFonts w:ascii="Arial" w:hAnsi="Arial" w:cs="Arial"/>
          <w:sz w:val="20"/>
          <w:szCs w:val="20"/>
          <w:u w:val="single"/>
        </w:rPr>
        <w:t>Séance 1 </w:t>
      </w:r>
      <w:r w:rsidRPr="00386BE8">
        <w:rPr>
          <w:rFonts w:ascii="Arial" w:hAnsi="Arial" w:cs="Arial"/>
          <w:sz w:val="20"/>
          <w:szCs w:val="20"/>
        </w:rPr>
        <w:t>: Initiation à la manipulation et à l’observation de cultures cellulaires : bilan du PACES, observation microscopique, dénombrement, QCM…</w:t>
      </w:r>
    </w:p>
    <w:p w:rsidR="000E426D" w:rsidRPr="00386BE8" w:rsidRDefault="000E426D" w:rsidP="000E426D">
      <w:pPr>
        <w:rPr>
          <w:rFonts w:ascii="Arial" w:hAnsi="Arial" w:cs="Arial"/>
          <w:sz w:val="20"/>
          <w:szCs w:val="20"/>
        </w:rPr>
      </w:pPr>
      <w:r w:rsidRPr="00386BE8">
        <w:rPr>
          <w:rFonts w:ascii="Arial" w:hAnsi="Arial" w:cs="Arial"/>
          <w:sz w:val="20"/>
          <w:szCs w:val="20"/>
          <w:u w:val="single"/>
        </w:rPr>
        <w:t>Séance 2</w:t>
      </w:r>
      <w:r w:rsidRPr="00386BE8">
        <w:rPr>
          <w:rFonts w:ascii="Arial" w:hAnsi="Arial" w:cs="Arial"/>
          <w:sz w:val="20"/>
          <w:szCs w:val="20"/>
        </w:rPr>
        <w:t> : Croissance et Division cellulaire: bilan du PACES, élaboration d’une courbe de croissance cellulaire, observation microscopique de mitose, QCM…</w:t>
      </w:r>
    </w:p>
    <w:p w:rsidR="000E426D" w:rsidRPr="00386BE8" w:rsidRDefault="000E426D" w:rsidP="000E426D">
      <w:pPr>
        <w:rPr>
          <w:rFonts w:ascii="Arial" w:hAnsi="Arial" w:cs="Arial"/>
          <w:sz w:val="20"/>
          <w:szCs w:val="20"/>
        </w:rPr>
      </w:pPr>
      <w:r w:rsidRPr="00386BE8">
        <w:rPr>
          <w:rFonts w:ascii="Arial" w:hAnsi="Arial" w:cs="Arial"/>
          <w:sz w:val="20"/>
          <w:szCs w:val="20"/>
          <w:u w:val="single"/>
        </w:rPr>
        <w:t>Séance 3</w:t>
      </w:r>
      <w:r>
        <w:rPr>
          <w:rFonts w:ascii="Arial" w:hAnsi="Arial" w:cs="Arial"/>
          <w:sz w:val="20"/>
          <w:szCs w:val="20"/>
          <w:u w:val="single"/>
        </w:rPr>
        <w:t> </w:t>
      </w:r>
      <w:r>
        <w:rPr>
          <w:rFonts w:ascii="Arial" w:hAnsi="Arial" w:cs="Arial"/>
          <w:sz w:val="20"/>
          <w:szCs w:val="20"/>
        </w:rPr>
        <w:t>:</w:t>
      </w:r>
      <w:r w:rsidRPr="00386BE8">
        <w:rPr>
          <w:rFonts w:ascii="Arial" w:hAnsi="Arial" w:cs="Arial"/>
          <w:sz w:val="20"/>
          <w:szCs w:val="20"/>
        </w:rPr>
        <w:t> Mise en évidence de l’expression du gène de la béta2-</w:t>
      </w:r>
      <w:proofErr w:type="spellStart"/>
      <w:r w:rsidRPr="00386BE8">
        <w:rPr>
          <w:rFonts w:ascii="Arial" w:hAnsi="Arial" w:cs="Arial"/>
          <w:sz w:val="20"/>
          <w:szCs w:val="20"/>
        </w:rPr>
        <w:t>microglobuline</w:t>
      </w:r>
      <w:proofErr w:type="spellEnd"/>
      <w:r w:rsidRPr="00386BE8">
        <w:rPr>
          <w:rFonts w:ascii="Arial" w:hAnsi="Arial" w:cs="Arial"/>
          <w:sz w:val="20"/>
          <w:szCs w:val="20"/>
        </w:rPr>
        <w:t xml:space="preserve"> dans les cellules A549 : bilan du PACES, extraction d’</w:t>
      </w:r>
      <w:proofErr w:type="spellStart"/>
      <w:r w:rsidRPr="00386BE8">
        <w:rPr>
          <w:rFonts w:ascii="Arial" w:hAnsi="Arial" w:cs="Arial"/>
          <w:sz w:val="20"/>
          <w:szCs w:val="20"/>
        </w:rPr>
        <w:t>ARNs</w:t>
      </w:r>
      <w:proofErr w:type="spellEnd"/>
      <w:r w:rsidRPr="00386BE8">
        <w:rPr>
          <w:rFonts w:ascii="Arial" w:hAnsi="Arial" w:cs="Arial"/>
          <w:sz w:val="20"/>
          <w:szCs w:val="20"/>
        </w:rPr>
        <w:t>, mise en route d’une PCR, QCM…</w:t>
      </w:r>
    </w:p>
    <w:p w:rsidR="000E426D" w:rsidRPr="00386BE8" w:rsidRDefault="000E426D" w:rsidP="000E426D">
      <w:pPr>
        <w:rPr>
          <w:rFonts w:ascii="Arial" w:hAnsi="Arial" w:cs="Arial"/>
          <w:sz w:val="20"/>
          <w:szCs w:val="20"/>
        </w:rPr>
      </w:pPr>
      <w:r w:rsidRPr="00386BE8">
        <w:rPr>
          <w:rFonts w:ascii="Arial" w:hAnsi="Arial" w:cs="Arial"/>
          <w:sz w:val="20"/>
          <w:szCs w:val="20"/>
          <w:u w:val="single"/>
        </w:rPr>
        <w:t xml:space="preserve">Séance </w:t>
      </w:r>
      <w:r>
        <w:rPr>
          <w:rFonts w:ascii="Arial" w:hAnsi="Arial" w:cs="Arial"/>
          <w:sz w:val="20"/>
          <w:szCs w:val="20"/>
          <w:u w:val="single"/>
        </w:rPr>
        <w:t>4 :</w:t>
      </w:r>
      <w:r w:rsidRPr="00386BE8">
        <w:rPr>
          <w:rFonts w:ascii="Arial" w:hAnsi="Arial" w:cs="Arial"/>
          <w:sz w:val="20"/>
          <w:szCs w:val="20"/>
        </w:rPr>
        <w:t xml:space="preserve"> Réalisation d’un caryotype: bilan du PACES, </w:t>
      </w:r>
      <w:r>
        <w:rPr>
          <w:rFonts w:ascii="Arial" w:hAnsi="Arial" w:cs="Arial"/>
          <w:sz w:val="20"/>
          <w:szCs w:val="20"/>
        </w:rPr>
        <w:t xml:space="preserve">préparation et étalement du contenu chromosomique de la lignée A549, observation microscopique des étalements, </w:t>
      </w:r>
      <w:r w:rsidRPr="00386BE8">
        <w:rPr>
          <w:rFonts w:ascii="Arial" w:hAnsi="Arial" w:cs="Arial"/>
          <w:sz w:val="20"/>
          <w:szCs w:val="20"/>
        </w:rPr>
        <w:t>QCM…</w:t>
      </w:r>
    </w:p>
    <w:p w:rsidR="000E426D" w:rsidRDefault="000E426D" w:rsidP="000E426D">
      <w:pPr>
        <w:rPr>
          <w:b/>
          <w:sz w:val="24"/>
          <w:szCs w:val="24"/>
        </w:rPr>
      </w:pPr>
    </w:p>
    <w:p w:rsidR="000E426D" w:rsidRDefault="000E426D" w:rsidP="000E426D">
      <w:pPr>
        <w:rPr>
          <w:b/>
          <w:sz w:val="24"/>
          <w:szCs w:val="24"/>
        </w:rPr>
      </w:pPr>
      <w:r w:rsidRPr="00691FFE">
        <w:rPr>
          <w:b/>
          <w:sz w:val="24"/>
          <w:szCs w:val="24"/>
        </w:rPr>
        <w:t>Modalités d’évaluation</w:t>
      </w:r>
      <w:r>
        <w:rPr>
          <w:b/>
          <w:sz w:val="24"/>
          <w:szCs w:val="24"/>
        </w:rPr>
        <w:t> :</w:t>
      </w:r>
    </w:p>
    <w:p w:rsidR="000E426D" w:rsidRDefault="000E426D" w:rsidP="000E426D">
      <w:pPr>
        <w:rPr>
          <w:sz w:val="24"/>
          <w:szCs w:val="24"/>
        </w:rPr>
      </w:pPr>
      <w:r>
        <w:rPr>
          <w:sz w:val="24"/>
          <w:szCs w:val="24"/>
        </w:rPr>
        <w:t xml:space="preserve">Contrôle continu. La note d’évaluation de ces TP sera regroupée avec les autres évaluations de biologie cellulaire (ED et CM </w:t>
      </w:r>
      <w:proofErr w:type="spellStart"/>
      <w:r>
        <w:rPr>
          <w:sz w:val="24"/>
          <w:szCs w:val="24"/>
        </w:rPr>
        <w:t>cf</w:t>
      </w:r>
      <w:proofErr w:type="spellEnd"/>
      <w:r>
        <w:rPr>
          <w:sz w:val="24"/>
          <w:szCs w:val="24"/>
        </w:rPr>
        <w:t xml:space="preserve"> fiche UEF 3 Sciences Biologiques II)  </w:t>
      </w:r>
    </w:p>
    <w:p w:rsidR="000E426D" w:rsidRDefault="000E426D" w:rsidP="000E426D">
      <w:pPr>
        <w:rPr>
          <w:b/>
        </w:rPr>
      </w:pPr>
    </w:p>
    <w:p w:rsidR="000E426D" w:rsidRDefault="000E426D" w:rsidP="000E426D">
      <w:pPr>
        <w:rPr>
          <w:sz w:val="24"/>
          <w:szCs w:val="24"/>
        </w:rPr>
      </w:pPr>
      <w:r w:rsidRPr="00691FFE">
        <w:rPr>
          <w:b/>
          <w:sz w:val="24"/>
          <w:szCs w:val="24"/>
        </w:rPr>
        <w:t xml:space="preserve">Pré-requis : </w:t>
      </w:r>
    </w:p>
    <w:p w:rsidR="000E426D" w:rsidRDefault="000E426D" w:rsidP="000E426D">
      <w:pPr>
        <w:rPr>
          <w:sz w:val="24"/>
          <w:szCs w:val="24"/>
        </w:rPr>
      </w:pPr>
      <w:r>
        <w:rPr>
          <w:sz w:val="24"/>
          <w:szCs w:val="24"/>
        </w:rPr>
        <w:t>Enseignement de biologie cellulaire et moléculaire du PACES</w:t>
      </w:r>
    </w:p>
    <w:p w:rsidR="000E426D" w:rsidRDefault="000E426D">
      <w:pPr>
        <w:spacing w:after="0" w:line="240" w:lineRule="auto"/>
        <w:rPr>
          <w:sz w:val="24"/>
          <w:szCs w:val="24"/>
        </w:rPr>
      </w:pPr>
      <w:r>
        <w:rPr>
          <w:sz w:val="24"/>
          <w:szCs w:val="24"/>
        </w:rPr>
        <w:br w:type="page"/>
      </w:r>
    </w:p>
    <w:p w:rsidR="000E426D" w:rsidRDefault="000E426D" w:rsidP="000E426D">
      <w:pPr>
        <w:rPr>
          <w:sz w:val="36"/>
          <w:szCs w:val="36"/>
        </w:rPr>
      </w:pPr>
      <w:r w:rsidRPr="00691FFE">
        <w:rPr>
          <w:b/>
          <w:sz w:val="36"/>
          <w:szCs w:val="36"/>
        </w:rPr>
        <w:lastRenderedPageBreak/>
        <w:t>Intitulé de l’EC</w:t>
      </w:r>
      <w:r>
        <w:t xml:space="preserve"> : </w:t>
      </w:r>
      <w:r w:rsidRPr="00691FFE">
        <w:tab/>
      </w:r>
      <w:r>
        <w:rPr>
          <w:b/>
          <w:color w:val="0070C0"/>
          <w:sz w:val="28"/>
          <w:szCs w:val="28"/>
        </w:rPr>
        <w:t>Biophysique</w:t>
      </w:r>
      <w:r>
        <w:tab/>
      </w:r>
      <w:r>
        <w:tab/>
      </w:r>
      <w:r w:rsidRPr="00691FFE">
        <w:rPr>
          <w:sz w:val="36"/>
          <w:szCs w:val="36"/>
        </w:rPr>
        <w:t>N°</w:t>
      </w:r>
      <w:r>
        <w:rPr>
          <w:sz w:val="36"/>
          <w:szCs w:val="36"/>
        </w:rPr>
        <w:t xml:space="preserve"> S4-</w:t>
      </w:r>
    </w:p>
    <w:p w:rsidR="000E426D" w:rsidRDefault="000E426D" w:rsidP="000E426D"/>
    <w:p w:rsidR="000E426D" w:rsidRPr="00691FFE" w:rsidRDefault="000E426D" w:rsidP="000E426D">
      <w:pPr>
        <w:rPr>
          <w:b/>
          <w:sz w:val="24"/>
          <w:szCs w:val="24"/>
        </w:rPr>
      </w:pPr>
      <w:r w:rsidRPr="00691FFE">
        <w:rPr>
          <w:b/>
          <w:sz w:val="24"/>
          <w:szCs w:val="24"/>
        </w:rPr>
        <w:t>Répartition des heures d’enseignement</w:t>
      </w:r>
    </w:p>
    <w:tbl>
      <w:tblPr>
        <w:tblW w:w="0" w:type="auto"/>
        <w:tblBorders>
          <w:top w:val="single" w:sz="8" w:space="0" w:color="4F81BD"/>
          <w:bottom w:val="single" w:sz="8" w:space="0" w:color="4F81BD"/>
        </w:tblBorders>
        <w:tblLook w:val="04A0"/>
      </w:tblPr>
      <w:tblGrid>
        <w:gridCol w:w="917"/>
        <w:gridCol w:w="906"/>
        <w:gridCol w:w="911"/>
        <w:gridCol w:w="911"/>
        <w:gridCol w:w="906"/>
        <w:gridCol w:w="906"/>
        <w:gridCol w:w="1111"/>
        <w:gridCol w:w="906"/>
        <w:gridCol w:w="907"/>
        <w:gridCol w:w="907"/>
      </w:tblGrid>
      <w:tr w:rsidR="000E426D" w:rsidRPr="000F5B11" w:rsidTr="00525CA2">
        <w:trPr>
          <w:trHeight w:val="245"/>
        </w:trPr>
        <w:tc>
          <w:tcPr>
            <w:tcW w:w="1823"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CM              h</w:t>
            </w:r>
            <w:r w:rsidRPr="000F5B11">
              <w:rPr>
                <w:b/>
                <w:bCs/>
                <w:color w:val="365F91"/>
              </w:rPr>
              <w:tab/>
              <w:t xml:space="preserve">    </w:t>
            </w:r>
          </w:p>
        </w:tc>
        <w:tc>
          <w:tcPr>
            <w:tcW w:w="1822"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Pr>
                <w:b/>
                <w:bCs/>
                <w:color w:val="365F91"/>
              </w:rPr>
              <w:t xml:space="preserve">ED      </w:t>
            </w:r>
            <w:r w:rsidRPr="000F5B11">
              <w:rPr>
                <w:b/>
                <w:bCs/>
                <w:color w:val="365F91"/>
              </w:rPr>
              <w:t xml:space="preserve">         h</w:t>
            </w:r>
          </w:p>
        </w:tc>
        <w:tc>
          <w:tcPr>
            <w:tcW w:w="1812"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TP      </w:t>
            </w:r>
            <w:r>
              <w:rPr>
                <w:b/>
                <w:bCs/>
                <w:color w:val="365F91"/>
              </w:rPr>
              <w:t>9</w:t>
            </w:r>
            <w:r w:rsidRPr="000F5B11">
              <w:rPr>
                <w:b/>
                <w:bCs/>
                <w:color w:val="365F91"/>
              </w:rPr>
              <w:t xml:space="preserve">        h</w:t>
            </w:r>
          </w:p>
        </w:tc>
        <w:tc>
          <w:tcPr>
            <w:tcW w:w="2017"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travail personnel : </w:t>
            </w:r>
            <w:r w:rsidRPr="000F5B11">
              <w:rPr>
                <w:b/>
                <w:bCs/>
                <w:color w:val="365F91"/>
              </w:rPr>
              <w:tab/>
            </w:r>
          </w:p>
        </w:tc>
        <w:tc>
          <w:tcPr>
            <w:tcW w:w="1814"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    10    h</w:t>
            </w:r>
          </w:p>
        </w:tc>
      </w:tr>
      <w:tr w:rsidR="000E426D" w:rsidRPr="000F5B11" w:rsidTr="00525CA2">
        <w:trPr>
          <w:trHeight w:val="110"/>
        </w:trPr>
        <w:tc>
          <w:tcPr>
            <w:tcW w:w="917" w:type="dxa"/>
            <w:tcBorders>
              <w:left w:val="nil"/>
              <w:right w:val="nil"/>
            </w:tcBorders>
            <w:shd w:val="clear" w:color="auto" w:fill="D3DFEE"/>
          </w:tcPr>
          <w:p w:rsidR="000E426D" w:rsidRPr="000F5B11" w:rsidRDefault="000E426D" w:rsidP="00525CA2">
            <w:pPr>
              <w:spacing w:after="0" w:line="240" w:lineRule="auto"/>
              <w:rPr>
                <w:b/>
                <w:bCs/>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11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7"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7" w:type="dxa"/>
            <w:tcBorders>
              <w:left w:val="nil"/>
              <w:right w:val="nil"/>
            </w:tcBorders>
            <w:shd w:val="clear" w:color="auto" w:fill="D3DFEE"/>
          </w:tcPr>
          <w:p w:rsidR="000E426D" w:rsidRPr="000F5B11" w:rsidRDefault="000E426D" w:rsidP="00525CA2">
            <w:pPr>
              <w:spacing w:after="0" w:line="240" w:lineRule="auto"/>
              <w:rPr>
                <w:color w:val="365F91"/>
              </w:rPr>
            </w:pPr>
          </w:p>
        </w:tc>
      </w:tr>
    </w:tbl>
    <w:p w:rsidR="000E426D" w:rsidRPr="00590D1E" w:rsidRDefault="000E426D" w:rsidP="000E426D">
      <w:r>
        <w:tab/>
      </w:r>
      <w:r w:rsidRPr="00590D1E">
        <w:t xml:space="preserve"> </w:t>
      </w:r>
    </w:p>
    <w:p w:rsidR="000E426D" w:rsidRDefault="000E426D" w:rsidP="000E426D">
      <w:pPr>
        <w:rPr>
          <w:b/>
          <w:sz w:val="24"/>
          <w:szCs w:val="24"/>
        </w:rPr>
      </w:pPr>
      <w:r w:rsidRPr="00691FFE">
        <w:rPr>
          <w:b/>
          <w:sz w:val="24"/>
          <w:szCs w:val="24"/>
        </w:rPr>
        <w:t>Objectifs pédagogiques :</w:t>
      </w:r>
    </w:p>
    <w:p w:rsidR="000E426D" w:rsidRDefault="000E426D" w:rsidP="000E426D">
      <w:pPr>
        <w:rPr>
          <w:sz w:val="24"/>
          <w:szCs w:val="24"/>
        </w:rPr>
      </w:pPr>
      <w:r>
        <w:rPr>
          <w:sz w:val="24"/>
          <w:szCs w:val="24"/>
        </w:rPr>
        <w:t>Comprendre les bases physiques.</w:t>
      </w:r>
    </w:p>
    <w:p w:rsidR="000E426D" w:rsidRPr="00691FFE" w:rsidRDefault="000E426D" w:rsidP="000E426D">
      <w:pPr>
        <w:rPr>
          <w:b/>
          <w:sz w:val="24"/>
          <w:szCs w:val="24"/>
        </w:rPr>
      </w:pPr>
      <w:r w:rsidRPr="00691FFE">
        <w:rPr>
          <w:b/>
          <w:sz w:val="24"/>
          <w:szCs w:val="24"/>
        </w:rPr>
        <w:t>Descriptifs des enseignements, des intervenants et découpage horaire</w:t>
      </w:r>
    </w:p>
    <w:p w:rsidR="000E426D" w:rsidRDefault="000E426D" w:rsidP="000E426D">
      <w:r>
        <w:t xml:space="preserve">Mesure de densité de solide te de liquide : 3 h TP (application du cours de PACES ; M. </w:t>
      </w:r>
      <w:proofErr w:type="spellStart"/>
      <w:r>
        <w:t>Degraef</w:t>
      </w:r>
      <w:proofErr w:type="spellEnd"/>
      <w:r>
        <w:t xml:space="preserve"> + M. Bourgeois)</w:t>
      </w:r>
    </w:p>
    <w:p w:rsidR="000E426D" w:rsidRDefault="000E426D" w:rsidP="000E426D">
      <w:r>
        <w:t xml:space="preserve">Les lentilles minces et leurs applications : 3 h TP (application du cours de PACES ; M. </w:t>
      </w:r>
      <w:proofErr w:type="spellStart"/>
      <w:r>
        <w:t>Degraef</w:t>
      </w:r>
      <w:proofErr w:type="spellEnd"/>
      <w:r>
        <w:t xml:space="preserve"> + M. Bourgeois)</w:t>
      </w:r>
    </w:p>
    <w:p w:rsidR="000E426D" w:rsidRDefault="000E426D" w:rsidP="000E426D">
      <w:r>
        <w:t xml:space="preserve">La spectroscopie : 3 h TP (application du cours de PACES ; M. </w:t>
      </w:r>
      <w:proofErr w:type="spellStart"/>
      <w:r>
        <w:t>Degraef</w:t>
      </w:r>
      <w:proofErr w:type="spellEnd"/>
      <w:r>
        <w:t xml:space="preserve"> + M. Bourgeois)</w:t>
      </w:r>
    </w:p>
    <w:p w:rsidR="000E426D" w:rsidRPr="007161C0" w:rsidRDefault="000E426D" w:rsidP="000E426D">
      <w:r>
        <w:t xml:space="preserve">Mesures </w:t>
      </w:r>
      <w:proofErr w:type="spellStart"/>
      <w:r>
        <w:t>polarimétriques</w:t>
      </w:r>
      <w:proofErr w:type="spellEnd"/>
      <w:r>
        <w:t xml:space="preserve"> : 3 h TP (application du cours de PACES ; M. </w:t>
      </w:r>
      <w:proofErr w:type="spellStart"/>
      <w:r>
        <w:t>Degraef</w:t>
      </w:r>
      <w:proofErr w:type="spellEnd"/>
      <w:r>
        <w:t xml:space="preserve"> + M. Bourgeois)</w:t>
      </w:r>
    </w:p>
    <w:p w:rsidR="000E426D" w:rsidRPr="00D3194B" w:rsidRDefault="000E426D" w:rsidP="000E426D">
      <w:pPr>
        <w:rPr>
          <w:b/>
        </w:rPr>
      </w:pPr>
    </w:p>
    <w:p w:rsidR="000E426D" w:rsidRDefault="000E426D" w:rsidP="000E426D">
      <w:pPr>
        <w:rPr>
          <w:b/>
          <w:sz w:val="24"/>
          <w:szCs w:val="24"/>
        </w:rPr>
      </w:pPr>
      <w:r w:rsidRPr="00691FFE">
        <w:rPr>
          <w:b/>
          <w:sz w:val="24"/>
          <w:szCs w:val="24"/>
        </w:rPr>
        <w:t>Modalités d’évaluation</w:t>
      </w:r>
      <w:r>
        <w:rPr>
          <w:b/>
          <w:sz w:val="24"/>
          <w:szCs w:val="24"/>
        </w:rPr>
        <w:t> :</w:t>
      </w:r>
    </w:p>
    <w:p w:rsidR="000E426D" w:rsidRPr="000E4ED8" w:rsidRDefault="000E426D" w:rsidP="000E426D">
      <w:pPr>
        <w:rPr>
          <w:sz w:val="24"/>
          <w:szCs w:val="24"/>
        </w:rPr>
      </w:pPr>
      <w:r w:rsidRPr="000E4ED8">
        <w:rPr>
          <w:sz w:val="24"/>
          <w:szCs w:val="24"/>
        </w:rPr>
        <w:t xml:space="preserve">Contrôle continu </w:t>
      </w:r>
      <w:r>
        <w:rPr>
          <w:sz w:val="24"/>
          <w:szCs w:val="24"/>
        </w:rPr>
        <w:t>+ Examen type CAC</w:t>
      </w:r>
      <w:r w:rsidRPr="000E4ED8">
        <w:rPr>
          <w:sz w:val="24"/>
          <w:szCs w:val="24"/>
        </w:rPr>
        <w:t xml:space="preserve"> </w:t>
      </w:r>
    </w:p>
    <w:p w:rsidR="000E426D" w:rsidRDefault="000E426D" w:rsidP="000E426D">
      <w:pPr>
        <w:rPr>
          <w:b/>
        </w:rPr>
      </w:pPr>
    </w:p>
    <w:p w:rsidR="000E426D" w:rsidRPr="000E4ED8" w:rsidRDefault="000E426D" w:rsidP="000E426D">
      <w:pPr>
        <w:rPr>
          <w:sz w:val="24"/>
          <w:szCs w:val="24"/>
        </w:rPr>
      </w:pPr>
      <w:r w:rsidRPr="00691FFE">
        <w:rPr>
          <w:b/>
          <w:sz w:val="24"/>
          <w:szCs w:val="24"/>
        </w:rPr>
        <w:t xml:space="preserve">Pré-requis : </w:t>
      </w:r>
      <w:r>
        <w:rPr>
          <w:sz w:val="24"/>
          <w:szCs w:val="24"/>
        </w:rPr>
        <w:t>Cours de Biophysique de PACES</w:t>
      </w:r>
    </w:p>
    <w:p w:rsidR="000E426D" w:rsidRDefault="000E426D">
      <w:pPr>
        <w:spacing w:after="0" w:line="240" w:lineRule="auto"/>
        <w:rPr>
          <w:sz w:val="24"/>
          <w:szCs w:val="24"/>
        </w:rPr>
      </w:pPr>
      <w:r>
        <w:rPr>
          <w:sz w:val="24"/>
          <w:szCs w:val="24"/>
        </w:rPr>
        <w:br w:type="page"/>
      </w:r>
    </w:p>
    <w:p w:rsidR="000E426D" w:rsidRDefault="000E426D" w:rsidP="000E426D">
      <w:pPr>
        <w:spacing w:line="240" w:lineRule="auto"/>
        <w:rPr>
          <w:sz w:val="36"/>
          <w:szCs w:val="36"/>
        </w:rPr>
      </w:pPr>
      <w:r w:rsidRPr="00691FFE">
        <w:rPr>
          <w:b/>
          <w:sz w:val="36"/>
          <w:szCs w:val="36"/>
        </w:rPr>
        <w:lastRenderedPageBreak/>
        <w:t>Intitulé de l’EC</w:t>
      </w:r>
      <w:r>
        <w:t> </w:t>
      </w:r>
      <w:proofErr w:type="gramStart"/>
      <w:r>
        <w:t xml:space="preserve">:  </w:t>
      </w:r>
      <w:r>
        <w:rPr>
          <w:b/>
          <w:color w:val="0070C0"/>
          <w:sz w:val="28"/>
          <w:szCs w:val="28"/>
        </w:rPr>
        <w:t>Législation</w:t>
      </w:r>
      <w:proofErr w:type="gramEnd"/>
      <w:r>
        <w:rPr>
          <w:b/>
          <w:color w:val="0070C0"/>
          <w:sz w:val="28"/>
          <w:szCs w:val="28"/>
        </w:rPr>
        <w:t xml:space="preserve"> pharmaceutique </w:t>
      </w:r>
      <w:r>
        <w:rPr>
          <w:b/>
          <w:color w:val="0070C0"/>
          <w:sz w:val="28"/>
          <w:szCs w:val="28"/>
        </w:rPr>
        <w:tab/>
      </w:r>
      <w:r>
        <w:rPr>
          <w:b/>
          <w:color w:val="0070C0"/>
          <w:sz w:val="28"/>
          <w:szCs w:val="28"/>
        </w:rPr>
        <w:tab/>
        <w:t xml:space="preserve">            </w:t>
      </w:r>
      <w:r w:rsidRPr="00691FFE">
        <w:rPr>
          <w:sz w:val="36"/>
          <w:szCs w:val="36"/>
        </w:rPr>
        <w:t>N°</w:t>
      </w:r>
      <w:r>
        <w:rPr>
          <w:sz w:val="36"/>
          <w:szCs w:val="36"/>
        </w:rPr>
        <w:t xml:space="preserve"> S3-</w:t>
      </w:r>
    </w:p>
    <w:p w:rsidR="000E426D" w:rsidRDefault="000E426D" w:rsidP="000E426D">
      <w:pPr>
        <w:rPr>
          <w:sz w:val="36"/>
          <w:szCs w:val="36"/>
        </w:rPr>
      </w:pPr>
      <w:r>
        <w:rPr>
          <w:sz w:val="36"/>
          <w:szCs w:val="36"/>
        </w:rPr>
        <w:tab/>
      </w:r>
      <w:r>
        <w:rPr>
          <w:sz w:val="36"/>
          <w:szCs w:val="36"/>
        </w:rPr>
        <w:tab/>
      </w:r>
      <w:r>
        <w:rPr>
          <w:sz w:val="36"/>
          <w:szCs w:val="36"/>
        </w:rPr>
        <w:tab/>
      </w:r>
      <w:r>
        <w:rPr>
          <w:b/>
          <w:color w:val="0070C0"/>
          <w:sz w:val="28"/>
          <w:szCs w:val="28"/>
        </w:rPr>
        <w:t>(UEC 1   Eléments de base pharmaceutique)</w:t>
      </w:r>
    </w:p>
    <w:p w:rsidR="000E426D" w:rsidRPr="00691FFE" w:rsidRDefault="000E426D" w:rsidP="000E426D">
      <w:pPr>
        <w:rPr>
          <w:b/>
          <w:sz w:val="24"/>
          <w:szCs w:val="24"/>
        </w:rPr>
      </w:pPr>
      <w:r w:rsidRPr="00691FFE">
        <w:rPr>
          <w:b/>
          <w:sz w:val="24"/>
          <w:szCs w:val="24"/>
        </w:rPr>
        <w:t>Répartition des heures d’enseignement</w:t>
      </w:r>
    </w:p>
    <w:tbl>
      <w:tblPr>
        <w:tblW w:w="0" w:type="auto"/>
        <w:tblBorders>
          <w:top w:val="single" w:sz="8" w:space="0" w:color="4F81BD"/>
          <w:bottom w:val="single" w:sz="8" w:space="0" w:color="4F81BD"/>
        </w:tblBorders>
        <w:tblLook w:val="04A0"/>
      </w:tblPr>
      <w:tblGrid>
        <w:gridCol w:w="917"/>
        <w:gridCol w:w="906"/>
        <w:gridCol w:w="911"/>
        <w:gridCol w:w="911"/>
        <w:gridCol w:w="906"/>
        <w:gridCol w:w="906"/>
        <w:gridCol w:w="1111"/>
        <w:gridCol w:w="906"/>
        <w:gridCol w:w="907"/>
        <w:gridCol w:w="907"/>
      </w:tblGrid>
      <w:tr w:rsidR="000E426D" w:rsidRPr="000F5B11" w:rsidTr="00525CA2">
        <w:trPr>
          <w:trHeight w:val="245"/>
        </w:trPr>
        <w:tc>
          <w:tcPr>
            <w:tcW w:w="1823"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CM   </w:t>
            </w:r>
            <w:r>
              <w:rPr>
                <w:b/>
                <w:bCs/>
                <w:color w:val="365F91"/>
              </w:rPr>
              <w:t xml:space="preserve">    6</w:t>
            </w:r>
            <w:r w:rsidRPr="000F5B11">
              <w:rPr>
                <w:b/>
                <w:bCs/>
                <w:color w:val="365F91"/>
              </w:rPr>
              <w:t xml:space="preserve">     h</w:t>
            </w:r>
            <w:r w:rsidRPr="000F5B11">
              <w:rPr>
                <w:b/>
                <w:bCs/>
                <w:color w:val="365F91"/>
              </w:rPr>
              <w:tab/>
              <w:t xml:space="preserve">    </w:t>
            </w:r>
          </w:p>
        </w:tc>
        <w:tc>
          <w:tcPr>
            <w:tcW w:w="1822"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ED     </w:t>
            </w:r>
            <w:r>
              <w:rPr>
                <w:b/>
                <w:bCs/>
                <w:color w:val="365F91"/>
              </w:rPr>
              <w:t xml:space="preserve">1,5  </w:t>
            </w:r>
            <w:r w:rsidRPr="000F5B11">
              <w:rPr>
                <w:b/>
                <w:bCs/>
                <w:color w:val="365F91"/>
              </w:rPr>
              <w:t xml:space="preserve">  h</w:t>
            </w:r>
          </w:p>
        </w:tc>
        <w:tc>
          <w:tcPr>
            <w:tcW w:w="1812"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TP      </w:t>
            </w:r>
            <w:r>
              <w:rPr>
                <w:b/>
                <w:bCs/>
                <w:color w:val="365F91"/>
              </w:rPr>
              <w:t xml:space="preserve">        </w:t>
            </w:r>
            <w:r w:rsidRPr="000F5B11">
              <w:rPr>
                <w:b/>
                <w:bCs/>
                <w:color w:val="365F91"/>
              </w:rPr>
              <w:t>h</w:t>
            </w:r>
          </w:p>
        </w:tc>
        <w:tc>
          <w:tcPr>
            <w:tcW w:w="2017"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travail personnel : </w:t>
            </w:r>
            <w:r w:rsidRPr="000F5B11">
              <w:rPr>
                <w:b/>
                <w:bCs/>
                <w:color w:val="365F91"/>
              </w:rPr>
              <w:tab/>
            </w:r>
          </w:p>
        </w:tc>
        <w:tc>
          <w:tcPr>
            <w:tcW w:w="1814"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    </w:t>
            </w:r>
            <w:r>
              <w:rPr>
                <w:b/>
                <w:bCs/>
                <w:color w:val="365F91"/>
              </w:rPr>
              <w:t xml:space="preserve">           </w:t>
            </w:r>
            <w:r w:rsidRPr="000F5B11">
              <w:rPr>
                <w:b/>
                <w:bCs/>
                <w:color w:val="365F91"/>
              </w:rPr>
              <w:t xml:space="preserve"> h</w:t>
            </w:r>
          </w:p>
        </w:tc>
      </w:tr>
      <w:tr w:rsidR="000E426D" w:rsidRPr="000F5B11" w:rsidTr="00525CA2">
        <w:trPr>
          <w:trHeight w:val="110"/>
        </w:trPr>
        <w:tc>
          <w:tcPr>
            <w:tcW w:w="917" w:type="dxa"/>
            <w:tcBorders>
              <w:left w:val="nil"/>
              <w:right w:val="nil"/>
            </w:tcBorders>
            <w:shd w:val="clear" w:color="auto" w:fill="D3DFEE"/>
          </w:tcPr>
          <w:p w:rsidR="000E426D" w:rsidRPr="000F5B11" w:rsidRDefault="000E426D" w:rsidP="00525CA2">
            <w:pPr>
              <w:spacing w:after="0" w:line="240" w:lineRule="auto"/>
              <w:rPr>
                <w:b/>
                <w:bCs/>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11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7"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7" w:type="dxa"/>
            <w:tcBorders>
              <w:left w:val="nil"/>
              <w:right w:val="nil"/>
            </w:tcBorders>
            <w:shd w:val="clear" w:color="auto" w:fill="D3DFEE"/>
          </w:tcPr>
          <w:p w:rsidR="000E426D" w:rsidRPr="000F5B11" w:rsidRDefault="000E426D" w:rsidP="00525CA2">
            <w:pPr>
              <w:spacing w:after="0" w:line="240" w:lineRule="auto"/>
              <w:rPr>
                <w:color w:val="365F91"/>
              </w:rPr>
            </w:pPr>
          </w:p>
        </w:tc>
      </w:tr>
    </w:tbl>
    <w:p w:rsidR="000E426D" w:rsidRPr="00590D1E" w:rsidRDefault="000E426D" w:rsidP="000E426D">
      <w:r>
        <w:tab/>
      </w:r>
      <w:r w:rsidRPr="00590D1E">
        <w:t xml:space="preserve"> </w:t>
      </w:r>
    </w:p>
    <w:p w:rsidR="000E426D" w:rsidRDefault="000E426D" w:rsidP="000E426D">
      <w:pPr>
        <w:rPr>
          <w:b/>
          <w:sz w:val="24"/>
          <w:szCs w:val="24"/>
        </w:rPr>
      </w:pPr>
      <w:r w:rsidRPr="00691FFE">
        <w:rPr>
          <w:b/>
          <w:sz w:val="24"/>
          <w:szCs w:val="24"/>
        </w:rPr>
        <w:t>Objectifs pédagogiques :</w:t>
      </w:r>
    </w:p>
    <w:p w:rsidR="000E426D" w:rsidRDefault="000E426D" w:rsidP="000E426D">
      <w:pPr>
        <w:numPr>
          <w:ilvl w:val="0"/>
          <w:numId w:val="2"/>
        </w:numPr>
        <w:rPr>
          <w:sz w:val="24"/>
          <w:szCs w:val="24"/>
        </w:rPr>
      </w:pPr>
      <w:r>
        <w:rPr>
          <w:sz w:val="24"/>
          <w:szCs w:val="24"/>
        </w:rPr>
        <w:t>Connaître les règles d'approvisionnement, de stockage et de délivrance des différentes catégories réglementaires des médicaments et des produits de santé</w:t>
      </w:r>
    </w:p>
    <w:p w:rsidR="000E426D" w:rsidRDefault="000E426D" w:rsidP="000E426D">
      <w:pPr>
        <w:numPr>
          <w:ilvl w:val="0"/>
          <w:numId w:val="2"/>
        </w:numPr>
        <w:rPr>
          <w:sz w:val="24"/>
          <w:szCs w:val="24"/>
        </w:rPr>
      </w:pPr>
      <w:r>
        <w:rPr>
          <w:sz w:val="24"/>
          <w:szCs w:val="24"/>
        </w:rPr>
        <w:t>Connaître la phase de dispensation des médicaments à l'officine et les règles associées</w:t>
      </w:r>
    </w:p>
    <w:p w:rsidR="000E426D" w:rsidRPr="00AA07E9" w:rsidRDefault="000E426D" w:rsidP="000E426D">
      <w:pPr>
        <w:ind w:left="360"/>
        <w:rPr>
          <w:sz w:val="24"/>
          <w:szCs w:val="24"/>
        </w:rPr>
      </w:pPr>
    </w:p>
    <w:p w:rsidR="000E426D" w:rsidRPr="00691FFE" w:rsidRDefault="000E426D" w:rsidP="000E426D">
      <w:pPr>
        <w:rPr>
          <w:b/>
          <w:sz w:val="24"/>
          <w:szCs w:val="24"/>
        </w:rPr>
      </w:pPr>
      <w:r w:rsidRPr="00691FFE">
        <w:rPr>
          <w:b/>
          <w:sz w:val="24"/>
          <w:szCs w:val="24"/>
        </w:rPr>
        <w:t>Descriptifs des enseignements, des intervenants et découpage horaire</w:t>
      </w:r>
    </w:p>
    <w:p w:rsidR="000E426D" w:rsidRPr="005604E5" w:rsidRDefault="000E426D" w:rsidP="000E426D">
      <w:pPr>
        <w:numPr>
          <w:ilvl w:val="0"/>
          <w:numId w:val="4"/>
        </w:numPr>
        <w:tabs>
          <w:tab w:val="clear" w:pos="1800"/>
          <w:tab w:val="left" w:pos="-1980"/>
          <w:tab w:val="num" w:pos="1080"/>
        </w:tabs>
        <w:spacing w:after="0" w:line="360" w:lineRule="auto"/>
        <w:ind w:left="1620" w:hanging="720"/>
        <w:rPr>
          <w:b/>
          <w:bCs/>
          <w:u w:val="single"/>
        </w:rPr>
      </w:pPr>
      <w:r w:rsidRPr="005604E5">
        <w:rPr>
          <w:b/>
          <w:bCs/>
          <w:u w:val="single"/>
        </w:rPr>
        <w:t>Cours Magistraux</w:t>
      </w:r>
      <w:r w:rsidRPr="00997E01">
        <w:rPr>
          <w:b/>
          <w:bCs/>
        </w:rPr>
        <w:t xml:space="preserve"> </w:t>
      </w:r>
      <w:proofErr w:type="gramStart"/>
      <w:r w:rsidRPr="00997E01">
        <w:rPr>
          <w:b/>
          <w:bCs/>
        </w:rPr>
        <w:t>:</w:t>
      </w:r>
      <w:r>
        <w:t xml:space="preserve">  6h</w:t>
      </w:r>
      <w:proofErr w:type="gramEnd"/>
      <w:r>
        <w:t xml:space="preserve"> (H. Gautier)</w:t>
      </w:r>
    </w:p>
    <w:p w:rsidR="000E426D" w:rsidRDefault="000E426D" w:rsidP="000E426D">
      <w:pPr>
        <w:numPr>
          <w:ilvl w:val="0"/>
          <w:numId w:val="3"/>
        </w:numPr>
        <w:spacing w:after="0" w:line="240" w:lineRule="auto"/>
      </w:pPr>
      <w:r>
        <w:t>Approvisionnement, stockage et délivrance : 3h</w:t>
      </w:r>
    </w:p>
    <w:p w:rsidR="000E426D" w:rsidRDefault="000E426D" w:rsidP="000E426D">
      <w:pPr>
        <w:numPr>
          <w:ilvl w:val="0"/>
          <w:numId w:val="3"/>
        </w:numPr>
        <w:spacing w:after="0" w:line="240" w:lineRule="auto"/>
      </w:pPr>
      <w:r>
        <w:t xml:space="preserve">Dispensation du médicament à </w:t>
      </w:r>
      <w:proofErr w:type="gramStart"/>
      <w:r>
        <w:t>l'officine  :</w:t>
      </w:r>
      <w:proofErr w:type="gramEnd"/>
      <w:r>
        <w:t xml:space="preserve"> 3h</w:t>
      </w:r>
    </w:p>
    <w:p w:rsidR="000E426D" w:rsidRDefault="000E426D" w:rsidP="000E426D">
      <w:pPr>
        <w:tabs>
          <w:tab w:val="left" w:pos="-1980"/>
        </w:tabs>
        <w:spacing w:after="0" w:line="360" w:lineRule="auto"/>
        <w:ind w:left="540"/>
        <w:rPr>
          <w:b/>
          <w:bCs/>
          <w:u w:val="single"/>
        </w:rPr>
      </w:pPr>
    </w:p>
    <w:p w:rsidR="000E426D" w:rsidRPr="0021705E" w:rsidRDefault="000E426D" w:rsidP="000E426D">
      <w:pPr>
        <w:numPr>
          <w:ilvl w:val="0"/>
          <w:numId w:val="4"/>
        </w:numPr>
        <w:tabs>
          <w:tab w:val="clear" w:pos="1800"/>
          <w:tab w:val="left" w:pos="-1980"/>
          <w:tab w:val="num" w:pos="1080"/>
        </w:tabs>
        <w:spacing w:after="0" w:line="360" w:lineRule="auto"/>
        <w:ind w:left="1620" w:hanging="720"/>
        <w:rPr>
          <w:b/>
          <w:bCs/>
          <w:u w:val="single"/>
        </w:rPr>
      </w:pPr>
      <w:r>
        <w:rPr>
          <w:b/>
          <w:bCs/>
          <w:u w:val="single"/>
        </w:rPr>
        <w:t>Enseignement dirigé</w:t>
      </w:r>
      <w:r w:rsidRPr="00997E01">
        <w:rPr>
          <w:b/>
          <w:bCs/>
        </w:rPr>
        <w:t xml:space="preserve"> </w:t>
      </w:r>
      <w:proofErr w:type="gramStart"/>
      <w:r w:rsidRPr="00997E01">
        <w:rPr>
          <w:b/>
          <w:bCs/>
        </w:rPr>
        <w:t xml:space="preserve">:  </w:t>
      </w:r>
      <w:r>
        <w:rPr>
          <w:b/>
          <w:bCs/>
        </w:rPr>
        <w:t>1</w:t>
      </w:r>
      <w:proofErr w:type="gramEnd"/>
      <w:r w:rsidRPr="009A1BE6">
        <w:rPr>
          <w:b/>
          <w:bCs/>
        </w:rPr>
        <w:t xml:space="preserve"> séance </w:t>
      </w:r>
      <w:r>
        <w:rPr>
          <w:b/>
          <w:bCs/>
        </w:rPr>
        <w:t>d'ED soit 1,5</w:t>
      </w:r>
      <w:r w:rsidRPr="0021705E">
        <w:rPr>
          <w:b/>
          <w:bCs/>
        </w:rPr>
        <w:t xml:space="preserve"> h </w:t>
      </w:r>
      <w:r w:rsidRPr="0021705E">
        <w:t xml:space="preserve"> </w:t>
      </w:r>
      <w:r>
        <w:t xml:space="preserve"> (A. Chabaud)</w:t>
      </w:r>
    </w:p>
    <w:p w:rsidR="000E426D" w:rsidRDefault="000E426D" w:rsidP="000E426D">
      <w:pPr>
        <w:numPr>
          <w:ilvl w:val="0"/>
          <w:numId w:val="3"/>
        </w:numPr>
        <w:spacing w:after="0" w:line="240" w:lineRule="auto"/>
      </w:pPr>
      <w:r>
        <w:t>Cas pratiques</w:t>
      </w:r>
    </w:p>
    <w:p w:rsidR="000E426D" w:rsidRDefault="000E426D" w:rsidP="000E426D">
      <w:pPr>
        <w:spacing w:after="0"/>
        <w:ind w:left="2124" w:firstLine="708"/>
      </w:pPr>
    </w:p>
    <w:p w:rsidR="000E426D" w:rsidRDefault="000E426D" w:rsidP="000E426D">
      <w:pPr>
        <w:spacing w:after="0"/>
        <w:ind w:left="2124" w:firstLine="708"/>
      </w:pPr>
    </w:p>
    <w:p w:rsidR="000E426D" w:rsidRPr="00737166" w:rsidRDefault="000E426D" w:rsidP="000E426D">
      <w:pPr>
        <w:spacing w:after="0"/>
        <w:ind w:left="2124" w:firstLine="708"/>
      </w:pPr>
    </w:p>
    <w:p w:rsidR="000E426D" w:rsidRDefault="000E426D" w:rsidP="000E426D">
      <w:pPr>
        <w:rPr>
          <w:b/>
          <w:sz w:val="24"/>
          <w:szCs w:val="24"/>
        </w:rPr>
      </w:pPr>
      <w:r w:rsidRPr="00691FFE">
        <w:rPr>
          <w:b/>
          <w:sz w:val="24"/>
          <w:szCs w:val="24"/>
        </w:rPr>
        <w:t>Modalités d’évaluation</w:t>
      </w:r>
      <w:r>
        <w:rPr>
          <w:b/>
          <w:sz w:val="24"/>
          <w:szCs w:val="24"/>
        </w:rPr>
        <w:t> :</w:t>
      </w:r>
    </w:p>
    <w:p w:rsidR="000E426D" w:rsidRDefault="000E426D" w:rsidP="000E426D">
      <w:pPr>
        <w:rPr>
          <w:sz w:val="24"/>
          <w:szCs w:val="24"/>
        </w:rPr>
      </w:pPr>
      <w:r w:rsidRPr="000E4ED8">
        <w:rPr>
          <w:sz w:val="24"/>
          <w:szCs w:val="24"/>
        </w:rPr>
        <w:t xml:space="preserve">Contrôle continu  </w:t>
      </w:r>
    </w:p>
    <w:p w:rsidR="000E426D" w:rsidRPr="000E4ED8" w:rsidRDefault="000E426D" w:rsidP="000E426D">
      <w:pPr>
        <w:rPr>
          <w:sz w:val="24"/>
          <w:szCs w:val="24"/>
        </w:rPr>
      </w:pPr>
    </w:p>
    <w:p w:rsidR="000E426D" w:rsidRDefault="000E426D" w:rsidP="000E426D">
      <w:pPr>
        <w:rPr>
          <w:sz w:val="24"/>
          <w:szCs w:val="24"/>
        </w:rPr>
      </w:pPr>
      <w:r w:rsidRPr="00691FFE">
        <w:rPr>
          <w:b/>
          <w:sz w:val="24"/>
          <w:szCs w:val="24"/>
        </w:rPr>
        <w:t xml:space="preserve">Pré-requis : </w:t>
      </w:r>
      <w:r>
        <w:rPr>
          <w:sz w:val="24"/>
          <w:szCs w:val="24"/>
        </w:rPr>
        <w:t>UE6 PACES</w:t>
      </w:r>
      <w:r w:rsidRPr="000E4ED8">
        <w:rPr>
          <w:sz w:val="24"/>
          <w:szCs w:val="24"/>
        </w:rPr>
        <w:t xml:space="preserve"> </w:t>
      </w:r>
      <w:r>
        <w:rPr>
          <w:sz w:val="24"/>
          <w:szCs w:val="24"/>
        </w:rPr>
        <w:t>"Connaissance du médicament" (S2), UE spécifique PACES "Médicaments et autres produits de santé" (S2)</w:t>
      </w:r>
    </w:p>
    <w:p w:rsidR="000E426D" w:rsidRDefault="000E426D">
      <w:pPr>
        <w:spacing w:after="0" w:line="240" w:lineRule="auto"/>
        <w:rPr>
          <w:sz w:val="24"/>
          <w:szCs w:val="24"/>
        </w:rPr>
      </w:pPr>
      <w:r>
        <w:rPr>
          <w:sz w:val="24"/>
          <w:szCs w:val="24"/>
        </w:rPr>
        <w:br w:type="page"/>
      </w:r>
    </w:p>
    <w:p w:rsidR="000E426D" w:rsidRDefault="000E426D" w:rsidP="000E426D">
      <w:pPr>
        <w:rPr>
          <w:sz w:val="24"/>
          <w:szCs w:val="24"/>
        </w:rPr>
      </w:pPr>
    </w:p>
    <w:p w:rsidR="000E426D" w:rsidRPr="00970042" w:rsidRDefault="000E426D" w:rsidP="000E426D">
      <w:pPr>
        <w:rPr>
          <w:sz w:val="36"/>
          <w:szCs w:val="36"/>
          <w:lang w:val="pt-BR"/>
        </w:rPr>
      </w:pPr>
      <w:r w:rsidRPr="00970042">
        <w:rPr>
          <w:b/>
          <w:sz w:val="36"/>
          <w:szCs w:val="36"/>
          <w:lang w:val="pt-BR"/>
        </w:rPr>
        <w:t>Intitulé de l’EC</w:t>
      </w:r>
      <w:r w:rsidRPr="00970042">
        <w:rPr>
          <w:lang w:val="pt-BR"/>
        </w:rPr>
        <w:t xml:space="preserve"> : </w:t>
      </w:r>
      <w:r w:rsidRPr="00970042">
        <w:rPr>
          <w:lang w:val="pt-BR"/>
        </w:rPr>
        <w:tab/>
      </w:r>
      <w:r w:rsidRPr="00970042">
        <w:rPr>
          <w:lang w:val="pt-BR"/>
        </w:rPr>
        <w:tab/>
      </w:r>
      <w:r w:rsidRPr="00970042">
        <w:rPr>
          <w:lang w:val="pt-BR"/>
        </w:rPr>
        <w:tab/>
      </w:r>
      <w:r w:rsidRPr="00970042">
        <w:rPr>
          <w:sz w:val="36"/>
          <w:szCs w:val="36"/>
          <w:lang w:val="pt-BR"/>
        </w:rPr>
        <w:t>N° S3-</w:t>
      </w:r>
    </w:p>
    <w:p w:rsidR="000E426D" w:rsidRPr="00970042" w:rsidRDefault="000E426D" w:rsidP="000E426D">
      <w:pPr>
        <w:jc w:val="center"/>
        <w:rPr>
          <w:b/>
          <w:sz w:val="28"/>
          <w:szCs w:val="28"/>
          <w:lang w:val="pt-BR"/>
        </w:rPr>
      </w:pPr>
      <w:r w:rsidRPr="00970042">
        <w:rPr>
          <w:b/>
          <w:sz w:val="28"/>
          <w:szCs w:val="28"/>
          <w:lang w:val="pt-BR"/>
        </w:rPr>
        <w:t>Secourisme</w:t>
      </w:r>
    </w:p>
    <w:p w:rsidR="000E426D" w:rsidRPr="00691FFE" w:rsidRDefault="000E426D" w:rsidP="000E426D">
      <w:pPr>
        <w:rPr>
          <w:b/>
          <w:sz w:val="24"/>
          <w:szCs w:val="24"/>
        </w:rPr>
      </w:pPr>
      <w:r w:rsidRPr="00691FFE">
        <w:rPr>
          <w:b/>
          <w:sz w:val="24"/>
          <w:szCs w:val="24"/>
        </w:rPr>
        <w:t>Répartition des heures d’enseignement</w:t>
      </w:r>
    </w:p>
    <w:tbl>
      <w:tblPr>
        <w:tblW w:w="0" w:type="auto"/>
        <w:tblBorders>
          <w:top w:val="single" w:sz="8" w:space="0" w:color="4F81BD"/>
          <w:bottom w:val="single" w:sz="8" w:space="0" w:color="4F81BD"/>
        </w:tblBorders>
        <w:tblLook w:val="04A0"/>
      </w:tblPr>
      <w:tblGrid>
        <w:gridCol w:w="917"/>
        <w:gridCol w:w="906"/>
        <w:gridCol w:w="911"/>
        <w:gridCol w:w="911"/>
        <w:gridCol w:w="906"/>
        <w:gridCol w:w="906"/>
        <w:gridCol w:w="1111"/>
        <w:gridCol w:w="906"/>
        <w:gridCol w:w="907"/>
        <w:gridCol w:w="907"/>
      </w:tblGrid>
      <w:tr w:rsidR="000E426D" w:rsidRPr="000F5B11" w:rsidTr="00525CA2">
        <w:trPr>
          <w:trHeight w:val="245"/>
        </w:trPr>
        <w:tc>
          <w:tcPr>
            <w:tcW w:w="1823"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CM      </w:t>
            </w:r>
            <w:r>
              <w:rPr>
                <w:b/>
                <w:bCs/>
                <w:color w:val="365F91"/>
              </w:rPr>
              <w:t xml:space="preserve">   </w:t>
            </w:r>
            <w:r w:rsidRPr="000F5B11">
              <w:rPr>
                <w:b/>
                <w:bCs/>
                <w:color w:val="365F91"/>
              </w:rPr>
              <w:t>h</w:t>
            </w:r>
            <w:r w:rsidRPr="000F5B11">
              <w:rPr>
                <w:b/>
                <w:bCs/>
                <w:color w:val="365F91"/>
              </w:rPr>
              <w:tab/>
              <w:t xml:space="preserve">    </w:t>
            </w:r>
          </w:p>
        </w:tc>
        <w:tc>
          <w:tcPr>
            <w:tcW w:w="1822"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Pr>
                <w:b/>
                <w:bCs/>
                <w:color w:val="365F91"/>
              </w:rPr>
              <w:t xml:space="preserve">ED      </w:t>
            </w:r>
            <w:r w:rsidRPr="000F5B11">
              <w:rPr>
                <w:b/>
                <w:bCs/>
                <w:color w:val="365F91"/>
              </w:rPr>
              <w:t xml:space="preserve">         h</w:t>
            </w:r>
          </w:p>
        </w:tc>
        <w:tc>
          <w:tcPr>
            <w:tcW w:w="1812"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Pr>
                <w:b/>
                <w:bCs/>
                <w:color w:val="365F91"/>
              </w:rPr>
              <w:t xml:space="preserve">TP      </w:t>
            </w:r>
            <w:r w:rsidRPr="000F5B11">
              <w:rPr>
                <w:b/>
                <w:bCs/>
                <w:color w:val="365F91"/>
              </w:rPr>
              <w:t xml:space="preserve">   </w:t>
            </w:r>
            <w:r>
              <w:rPr>
                <w:b/>
                <w:bCs/>
                <w:color w:val="365F91"/>
              </w:rPr>
              <w:t>16</w:t>
            </w:r>
            <w:r w:rsidRPr="000F5B11">
              <w:rPr>
                <w:b/>
                <w:bCs/>
                <w:color w:val="365F91"/>
              </w:rPr>
              <w:t xml:space="preserve">       h</w:t>
            </w:r>
          </w:p>
        </w:tc>
        <w:tc>
          <w:tcPr>
            <w:tcW w:w="2017"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sidRPr="000F5B11">
              <w:rPr>
                <w:b/>
                <w:bCs/>
                <w:color w:val="365F91"/>
              </w:rPr>
              <w:t xml:space="preserve">travail personnel : </w:t>
            </w:r>
            <w:r w:rsidRPr="000F5B11">
              <w:rPr>
                <w:b/>
                <w:bCs/>
                <w:color w:val="365F91"/>
              </w:rPr>
              <w:tab/>
            </w:r>
          </w:p>
        </w:tc>
        <w:tc>
          <w:tcPr>
            <w:tcW w:w="1814" w:type="dxa"/>
            <w:gridSpan w:val="2"/>
            <w:tcBorders>
              <w:top w:val="single" w:sz="8" w:space="0" w:color="4F81BD"/>
              <w:left w:val="nil"/>
              <w:bottom w:val="single" w:sz="8" w:space="0" w:color="4F81BD"/>
              <w:right w:val="nil"/>
            </w:tcBorders>
          </w:tcPr>
          <w:p w:rsidR="000E426D" w:rsidRPr="000F5B11" w:rsidRDefault="000E426D" w:rsidP="00525CA2">
            <w:pPr>
              <w:spacing w:after="0" w:line="240" w:lineRule="auto"/>
              <w:rPr>
                <w:b/>
                <w:bCs/>
                <w:color w:val="365F91"/>
              </w:rPr>
            </w:pPr>
            <w:r>
              <w:rPr>
                <w:b/>
                <w:bCs/>
                <w:color w:val="365F91"/>
              </w:rPr>
              <w:t xml:space="preserve">    </w:t>
            </w:r>
            <w:r w:rsidRPr="000F5B11">
              <w:rPr>
                <w:b/>
                <w:bCs/>
                <w:color w:val="365F91"/>
              </w:rPr>
              <w:t xml:space="preserve">    h</w:t>
            </w:r>
          </w:p>
        </w:tc>
      </w:tr>
      <w:tr w:rsidR="000E426D" w:rsidRPr="000F5B11" w:rsidTr="00525CA2">
        <w:trPr>
          <w:trHeight w:val="110"/>
        </w:trPr>
        <w:tc>
          <w:tcPr>
            <w:tcW w:w="917" w:type="dxa"/>
            <w:tcBorders>
              <w:left w:val="nil"/>
              <w:right w:val="nil"/>
            </w:tcBorders>
            <w:shd w:val="clear" w:color="auto" w:fill="D3DFEE"/>
          </w:tcPr>
          <w:p w:rsidR="000E426D" w:rsidRPr="000F5B11" w:rsidRDefault="000E426D" w:rsidP="00525CA2">
            <w:pPr>
              <w:spacing w:after="0" w:line="240" w:lineRule="auto"/>
              <w:rPr>
                <w:b/>
                <w:bCs/>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r>
              <w:rPr>
                <w:color w:val="365F91"/>
              </w:rPr>
              <w:t>16</w:t>
            </w: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1111"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6"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7" w:type="dxa"/>
            <w:tcBorders>
              <w:left w:val="nil"/>
              <w:right w:val="nil"/>
            </w:tcBorders>
            <w:shd w:val="clear" w:color="auto" w:fill="D3DFEE"/>
          </w:tcPr>
          <w:p w:rsidR="000E426D" w:rsidRPr="000F5B11" w:rsidRDefault="000E426D" w:rsidP="00525CA2">
            <w:pPr>
              <w:spacing w:after="0" w:line="240" w:lineRule="auto"/>
              <w:rPr>
                <w:color w:val="365F91"/>
              </w:rPr>
            </w:pPr>
          </w:p>
        </w:tc>
        <w:tc>
          <w:tcPr>
            <w:tcW w:w="907" w:type="dxa"/>
            <w:tcBorders>
              <w:left w:val="nil"/>
              <w:right w:val="nil"/>
            </w:tcBorders>
            <w:shd w:val="clear" w:color="auto" w:fill="D3DFEE"/>
          </w:tcPr>
          <w:p w:rsidR="000E426D" w:rsidRPr="000F5B11" w:rsidRDefault="000E426D" w:rsidP="00525CA2">
            <w:pPr>
              <w:spacing w:after="0" w:line="240" w:lineRule="auto"/>
              <w:rPr>
                <w:color w:val="365F91"/>
              </w:rPr>
            </w:pPr>
          </w:p>
        </w:tc>
      </w:tr>
    </w:tbl>
    <w:p w:rsidR="000E426D" w:rsidRPr="00590D1E" w:rsidRDefault="000E426D" w:rsidP="000E426D">
      <w:r>
        <w:tab/>
      </w:r>
      <w:r w:rsidRPr="00590D1E">
        <w:t xml:space="preserve"> </w:t>
      </w:r>
    </w:p>
    <w:p w:rsidR="000E426D" w:rsidRDefault="000E426D" w:rsidP="000E426D">
      <w:pPr>
        <w:rPr>
          <w:b/>
          <w:sz w:val="24"/>
          <w:szCs w:val="24"/>
        </w:rPr>
      </w:pPr>
      <w:r w:rsidRPr="00691FFE">
        <w:rPr>
          <w:b/>
          <w:sz w:val="24"/>
          <w:szCs w:val="24"/>
        </w:rPr>
        <w:t>Objectifs pédagogiques :</w:t>
      </w:r>
    </w:p>
    <w:p w:rsidR="000E426D" w:rsidRDefault="000E426D" w:rsidP="000E426D">
      <w:pPr>
        <w:rPr>
          <w:b/>
          <w:sz w:val="24"/>
          <w:szCs w:val="24"/>
        </w:rPr>
      </w:pPr>
      <w:r>
        <w:rPr>
          <w:b/>
          <w:sz w:val="24"/>
          <w:szCs w:val="24"/>
        </w:rPr>
        <w:t xml:space="preserve">Préparer le pharmacien à son rôle sanitaire (en particulier préparer l’AFGSU obligatoire en fin de 4 </w:t>
      </w:r>
      <w:proofErr w:type="spellStart"/>
      <w:r>
        <w:rPr>
          <w:b/>
          <w:sz w:val="24"/>
          <w:szCs w:val="24"/>
        </w:rPr>
        <w:t>ème</w:t>
      </w:r>
      <w:proofErr w:type="spellEnd"/>
      <w:r>
        <w:rPr>
          <w:b/>
          <w:sz w:val="24"/>
          <w:szCs w:val="24"/>
        </w:rPr>
        <w:t xml:space="preserve"> année)</w:t>
      </w:r>
    </w:p>
    <w:p w:rsidR="000E426D" w:rsidRDefault="000E426D" w:rsidP="000E426D">
      <w:pPr>
        <w:rPr>
          <w:b/>
          <w:sz w:val="24"/>
          <w:szCs w:val="24"/>
        </w:rPr>
      </w:pPr>
    </w:p>
    <w:p w:rsidR="000E426D" w:rsidRPr="00691FFE" w:rsidRDefault="000E426D" w:rsidP="000E426D">
      <w:pPr>
        <w:rPr>
          <w:b/>
          <w:sz w:val="24"/>
          <w:szCs w:val="24"/>
        </w:rPr>
      </w:pPr>
      <w:r w:rsidRPr="00691FFE">
        <w:rPr>
          <w:b/>
          <w:sz w:val="24"/>
          <w:szCs w:val="24"/>
        </w:rPr>
        <w:t>Descriptifs des enseignements, des intervenants et découpage horaire</w:t>
      </w:r>
    </w:p>
    <w:p w:rsidR="000E426D" w:rsidRDefault="000E426D" w:rsidP="000E426D">
      <w:r>
        <w:t>4 séances de 4 heures (</w:t>
      </w:r>
      <w:r w:rsidRPr="00970042">
        <w:rPr>
          <w:b/>
        </w:rPr>
        <w:t>préparation PSC1</w:t>
      </w:r>
      <w:r>
        <w:t>)</w:t>
      </w:r>
    </w:p>
    <w:p w:rsidR="000E426D" w:rsidRDefault="000E426D" w:rsidP="000E426D">
      <w:pPr>
        <w:spacing w:after="0" w:line="240" w:lineRule="auto"/>
      </w:pPr>
      <w:r>
        <w:t xml:space="preserve">1) </w:t>
      </w:r>
      <w:r>
        <w:tab/>
        <w:t>Protéger, Alerter, Secourir, Dégagement d’urgence</w:t>
      </w:r>
    </w:p>
    <w:p w:rsidR="000E426D" w:rsidRDefault="000E426D" w:rsidP="000E426D">
      <w:pPr>
        <w:spacing w:after="0" w:line="240" w:lineRule="auto"/>
      </w:pPr>
      <w:r>
        <w:tab/>
        <w:t>Inconscient qui ventile PLS</w:t>
      </w:r>
    </w:p>
    <w:p w:rsidR="000E426D" w:rsidRDefault="000E426D" w:rsidP="000E426D">
      <w:pPr>
        <w:spacing w:after="0" w:line="240" w:lineRule="auto"/>
        <w:ind w:left="3540" w:firstLine="708"/>
      </w:pPr>
      <w:r>
        <w:t>Bandages permanents</w:t>
      </w:r>
    </w:p>
    <w:p w:rsidR="000E426D" w:rsidRDefault="000E426D" w:rsidP="000E426D">
      <w:pPr>
        <w:numPr>
          <w:ilvl w:val="0"/>
          <w:numId w:val="5"/>
        </w:numPr>
        <w:spacing w:after="0" w:line="240" w:lineRule="auto"/>
        <w:ind w:hanging="720"/>
      </w:pPr>
      <w:r>
        <w:t>Hémorragies</w:t>
      </w:r>
    </w:p>
    <w:p w:rsidR="000E426D" w:rsidRDefault="000E426D" w:rsidP="000E426D">
      <w:pPr>
        <w:tabs>
          <w:tab w:val="left" w:pos="720"/>
        </w:tabs>
        <w:spacing w:after="0" w:line="240" w:lineRule="auto"/>
      </w:pPr>
      <w:r>
        <w:tab/>
        <w:t>Atteinte traumatique des os et articulations</w:t>
      </w:r>
    </w:p>
    <w:p w:rsidR="000E426D" w:rsidRDefault="000E426D" w:rsidP="000E426D">
      <w:pPr>
        <w:tabs>
          <w:tab w:val="left" w:pos="720"/>
        </w:tabs>
        <w:spacing w:after="0" w:line="240" w:lineRule="auto"/>
      </w:pPr>
      <w:r>
        <w:tab/>
        <w:t>Evaluations cas concrets</w:t>
      </w:r>
    </w:p>
    <w:p w:rsidR="000E426D" w:rsidRDefault="000E426D" w:rsidP="000E426D">
      <w:pPr>
        <w:tabs>
          <w:tab w:val="left" w:pos="720"/>
        </w:tabs>
        <w:spacing w:after="0" w:line="240" w:lineRule="auto"/>
      </w:pPr>
      <w:r>
        <w:tab/>
      </w:r>
      <w:r>
        <w:tab/>
      </w:r>
      <w:r>
        <w:tab/>
      </w:r>
      <w:r>
        <w:tab/>
      </w:r>
      <w:r>
        <w:tab/>
      </w:r>
      <w:r>
        <w:tab/>
        <w:t>Immobilisations</w:t>
      </w:r>
    </w:p>
    <w:p w:rsidR="000E426D" w:rsidRDefault="000E426D" w:rsidP="000E426D">
      <w:pPr>
        <w:tabs>
          <w:tab w:val="left" w:pos="720"/>
        </w:tabs>
        <w:spacing w:after="0" w:line="240" w:lineRule="auto"/>
      </w:pPr>
      <w:r>
        <w:tab/>
      </w:r>
      <w:r>
        <w:tab/>
      </w:r>
      <w:r>
        <w:tab/>
      </w:r>
      <w:r>
        <w:tab/>
      </w:r>
      <w:r>
        <w:tab/>
      </w:r>
      <w:r>
        <w:tab/>
        <w:t>Plaies et brûlures</w:t>
      </w:r>
    </w:p>
    <w:p w:rsidR="000E426D" w:rsidRDefault="000E426D" w:rsidP="000E426D">
      <w:pPr>
        <w:numPr>
          <w:ilvl w:val="0"/>
          <w:numId w:val="5"/>
        </w:numPr>
        <w:spacing w:after="0" w:line="240" w:lineRule="auto"/>
        <w:ind w:hanging="720"/>
      </w:pPr>
      <w:r>
        <w:t>Sujet inconscient qui ne ventile pas RCP</w:t>
      </w:r>
    </w:p>
    <w:p w:rsidR="000E426D" w:rsidRDefault="000E426D" w:rsidP="000E426D">
      <w:pPr>
        <w:tabs>
          <w:tab w:val="left" w:pos="720"/>
        </w:tabs>
        <w:spacing w:after="0" w:line="240" w:lineRule="auto"/>
        <w:ind w:left="720"/>
      </w:pPr>
      <w:r>
        <w:t>Evaluations</w:t>
      </w:r>
      <w:r w:rsidRPr="00970042">
        <w:t xml:space="preserve"> </w:t>
      </w:r>
      <w:r>
        <w:t>cas concrets</w:t>
      </w:r>
    </w:p>
    <w:p w:rsidR="000E426D" w:rsidRDefault="000E426D" w:rsidP="000E426D">
      <w:pPr>
        <w:tabs>
          <w:tab w:val="left" w:pos="720"/>
        </w:tabs>
        <w:spacing w:after="0" w:line="240" w:lineRule="auto"/>
        <w:ind w:left="360" w:hanging="360"/>
      </w:pPr>
      <w:r>
        <w:tab/>
      </w:r>
      <w:r>
        <w:tab/>
      </w:r>
      <w:r>
        <w:tab/>
      </w:r>
      <w:r>
        <w:tab/>
      </w:r>
      <w:r>
        <w:tab/>
      </w:r>
      <w:r>
        <w:tab/>
      </w:r>
      <w:r>
        <w:tab/>
        <w:t>Malaises</w:t>
      </w:r>
    </w:p>
    <w:p w:rsidR="000E426D" w:rsidRDefault="000E426D" w:rsidP="000E426D">
      <w:pPr>
        <w:tabs>
          <w:tab w:val="left" w:pos="720"/>
        </w:tabs>
        <w:spacing w:after="0" w:line="240" w:lineRule="auto"/>
        <w:ind w:left="360" w:hanging="360"/>
      </w:pPr>
      <w:r>
        <w:tab/>
      </w:r>
      <w:r>
        <w:tab/>
      </w:r>
      <w:r>
        <w:tab/>
      </w:r>
      <w:r>
        <w:tab/>
      </w:r>
      <w:r>
        <w:tab/>
      </w:r>
      <w:r>
        <w:tab/>
      </w:r>
      <w:r>
        <w:tab/>
        <w:t>Révisions</w:t>
      </w:r>
    </w:p>
    <w:p w:rsidR="000E426D" w:rsidRDefault="000E426D" w:rsidP="000E426D">
      <w:pPr>
        <w:numPr>
          <w:ilvl w:val="0"/>
          <w:numId w:val="5"/>
        </w:numPr>
        <w:spacing w:after="0" w:line="240" w:lineRule="auto"/>
        <w:ind w:hanging="720"/>
      </w:pPr>
      <w:r>
        <w:t>Evaluations cas concrets</w:t>
      </w:r>
    </w:p>
    <w:p w:rsidR="000E426D" w:rsidRDefault="000E426D" w:rsidP="000E426D">
      <w:pPr>
        <w:tabs>
          <w:tab w:val="left" w:pos="720"/>
        </w:tabs>
        <w:spacing w:after="0" w:line="240" w:lineRule="auto"/>
        <w:ind w:left="360"/>
      </w:pPr>
      <w:r>
        <w:tab/>
      </w:r>
      <w:r>
        <w:tab/>
      </w:r>
      <w:r>
        <w:tab/>
      </w:r>
      <w:r>
        <w:tab/>
      </w:r>
      <w:r>
        <w:tab/>
      </w:r>
      <w:r>
        <w:tab/>
        <w:t>Révisions</w:t>
      </w:r>
    </w:p>
    <w:p w:rsidR="000E426D" w:rsidRDefault="000E426D" w:rsidP="000E426D">
      <w:pPr>
        <w:tabs>
          <w:tab w:val="left" w:pos="720"/>
        </w:tabs>
        <w:spacing w:after="0" w:line="240" w:lineRule="auto"/>
        <w:ind w:left="360"/>
      </w:pPr>
      <w:r>
        <w:tab/>
      </w:r>
      <w:r>
        <w:tab/>
      </w:r>
      <w:r>
        <w:tab/>
      </w:r>
      <w:r>
        <w:tab/>
      </w:r>
      <w:r>
        <w:tab/>
      </w:r>
      <w:r>
        <w:tab/>
        <w:t>Evaluations</w:t>
      </w:r>
    </w:p>
    <w:p w:rsidR="000E426D" w:rsidRDefault="000E426D" w:rsidP="000E426D"/>
    <w:p w:rsidR="000E426D" w:rsidRDefault="000E426D" w:rsidP="000E426D">
      <w:r>
        <w:t>En année 3 : NRBC pas le CESU avec  2 heures en amphi et 3 heures  au CESU</w:t>
      </w:r>
    </w:p>
    <w:p w:rsidR="000E426D" w:rsidRDefault="000E426D" w:rsidP="000E426D">
      <w:r>
        <w:t>En année 4 : fin de l’AFGSU au CESU (1 journée)</w:t>
      </w:r>
    </w:p>
    <w:p w:rsidR="000E426D" w:rsidRDefault="000E426D" w:rsidP="000E426D">
      <w:pPr>
        <w:rPr>
          <w:b/>
          <w:sz w:val="24"/>
          <w:szCs w:val="24"/>
        </w:rPr>
      </w:pPr>
    </w:p>
    <w:p w:rsidR="000E426D" w:rsidRPr="00970042" w:rsidRDefault="000E426D" w:rsidP="000E426D">
      <w:pPr>
        <w:rPr>
          <w:b/>
          <w:sz w:val="24"/>
          <w:szCs w:val="24"/>
        </w:rPr>
      </w:pPr>
      <w:r w:rsidRPr="00691FFE">
        <w:rPr>
          <w:b/>
          <w:sz w:val="24"/>
          <w:szCs w:val="24"/>
        </w:rPr>
        <w:t>Modalités d’évaluation</w:t>
      </w:r>
      <w:r>
        <w:rPr>
          <w:b/>
          <w:sz w:val="24"/>
          <w:szCs w:val="24"/>
        </w:rPr>
        <w:t xml:space="preserve"> :                                 </w:t>
      </w:r>
      <w:r>
        <w:rPr>
          <w:sz w:val="24"/>
          <w:szCs w:val="24"/>
        </w:rPr>
        <w:t>Contrôle continu</w:t>
      </w:r>
    </w:p>
    <w:p w:rsidR="002F03C1" w:rsidRPr="000E4ED8" w:rsidRDefault="000E426D" w:rsidP="000E426D">
      <w:pPr>
        <w:rPr>
          <w:sz w:val="24"/>
          <w:szCs w:val="24"/>
        </w:rPr>
      </w:pPr>
      <w:r w:rsidRPr="00691FFE">
        <w:rPr>
          <w:b/>
          <w:sz w:val="24"/>
          <w:szCs w:val="24"/>
        </w:rPr>
        <w:t xml:space="preserve">Pré-requis : </w:t>
      </w:r>
      <w:r>
        <w:rPr>
          <w:sz w:val="24"/>
          <w:szCs w:val="24"/>
        </w:rPr>
        <w:tab/>
      </w:r>
      <w:r>
        <w:rPr>
          <w:sz w:val="24"/>
          <w:szCs w:val="24"/>
        </w:rPr>
        <w:tab/>
      </w:r>
      <w:r>
        <w:rPr>
          <w:sz w:val="24"/>
          <w:szCs w:val="24"/>
        </w:rPr>
        <w:tab/>
      </w:r>
      <w:r>
        <w:rPr>
          <w:sz w:val="24"/>
          <w:szCs w:val="24"/>
        </w:rPr>
        <w:tab/>
      </w:r>
      <w:r>
        <w:rPr>
          <w:sz w:val="24"/>
          <w:szCs w:val="24"/>
        </w:rPr>
        <w:tab/>
        <w:t>Pour AFGSU année 2 PSC1</w:t>
      </w:r>
    </w:p>
    <w:sectPr w:rsidR="002F03C1" w:rsidRPr="000E4ED8" w:rsidSect="002C41CD">
      <w:headerReference w:type="default" r:id="rId8"/>
      <w:pgSz w:w="11906" w:h="16838"/>
      <w:pgMar w:top="1417" w:right="1417" w:bottom="1417" w:left="1417"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1B0" w:rsidRDefault="006271B0" w:rsidP="002C41CD">
      <w:pPr>
        <w:spacing w:after="0" w:line="240" w:lineRule="auto"/>
      </w:pPr>
      <w:r>
        <w:separator/>
      </w:r>
    </w:p>
  </w:endnote>
  <w:endnote w:type="continuationSeparator" w:id="0">
    <w:p w:rsidR="006271B0" w:rsidRDefault="006271B0" w:rsidP="002C4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1B0" w:rsidRDefault="006271B0" w:rsidP="002C41CD">
      <w:pPr>
        <w:spacing w:after="0" w:line="240" w:lineRule="auto"/>
      </w:pPr>
      <w:r>
        <w:separator/>
      </w:r>
    </w:p>
  </w:footnote>
  <w:footnote w:type="continuationSeparator" w:id="0">
    <w:p w:rsidR="006271B0" w:rsidRDefault="006271B0" w:rsidP="002C41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CD" w:rsidRDefault="002C41CD" w:rsidP="000B575D">
    <w:pPr>
      <w:pStyle w:val="En-tte"/>
      <w:tabs>
        <w:tab w:val="clear" w:pos="4536"/>
        <w:tab w:val="clear" w:pos="9072"/>
        <w:tab w:val="left" w:pos="7797"/>
      </w:tabs>
    </w:pPr>
    <w:r>
      <w:rPr>
        <w:noProof/>
        <w:lang w:eastAsia="fr-FR"/>
      </w:rPr>
      <w:pict>
        <v:shapetype id="_x0000_t202" coordsize="21600,21600" o:spt="202" path="m,l,21600r21600,l21600,xe">
          <v:stroke joinstyle="miter"/>
          <v:path gradientshapeok="t" o:connecttype="rect"/>
        </v:shapetype>
        <v:shape id="_x0000_s3074" type="#_x0000_t202" style="position:absolute;margin-left:432.35pt;margin-top:14.2pt;width:60.8pt;height:27.6pt;z-index:251658240" stroked="f">
          <v:textbox>
            <w:txbxContent>
              <w:p w:rsidR="002C41CD" w:rsidRPr="004C5115" w:rsidRDefault="002C41CD">
                <w:pPr>
                  <w:rPr>
                    <w:sz w:val="12"/>
                  </w:rPr>
                </w:pPr>
                <w:r w:rsidRPr="004C5115">
                  <w:rPr>
                    <w:sz w:val="16"/>
                  </w:rPr>
                  <w:t>Mise à jour le 17/01/2013</w:t>
                </w:r>
              </w:p>
            </w:txbxContent>
          </v:textbox>
        </v:shape>
      </w:pict>
    </w:r>
    <w:r>
      <w:rPr>
        <w:noProof/>
        <w:lang w:eastAsia="fr-FR"/>
      </w:rPr>
      <w:pict>
        <v:shape id="_x0000_s3073" type="#_x0000_t202" style="position:absolute;margin-left:303.15pt;margin-top:1.8pt;width:88.8pt;height:40pt;z-index:251657216" stroked="f">
          <v:textbox>
            <w:txbxContent>
              <w:p w:rsidR="002C41CD" w:rsidRPr="002C41CD" w:rsidRDefault="002C41CD">
                <w:pPr>
                  <w:rPr>
                    <w:color w:val="17365D"/>
                    <w:sz w:val="18"/>
                  </w:rPr>
                </w:pPr>
                <w:r w:rsidRPr="002C41CD">
                  <w:rPr>
                    <w:rFonts w:ascii="Arial" w:hAnsi="Arial" w:cs="Arial"/>
                    <w:noProof/>
                    <w:color w:val="17365D"/>
                    <w:sz w:val="16"/>
                    <w:lang w:eastAsia="fr-FR"/>
                  </w:rPr>
                  <w:t>UFR des Sciences Pharmaceutiques et Biologiques</w:t>
                </w:r>
              </w:p>
            </w:txbxContent>
          </v:textbox>
        </v:shape>
      </w:pict>
    </w:r>
    <w:r w:rsidR="00D123CE">
      <w:rPr>
        <w:noProof/>
        <w:lang w:eastAsia="fr-FR"/>
      </w:rPr>
      <w:drawing>
        <wp:inline distT="0" distB="0" distL="0" distR="0">
          <wp:extent cx="1019175" cy="552450"/>
          <wp:effectExtent l="19050" t="0" r="9525" b="0"/>
          <wp:docPr id="1" name="Image 0" descr="logo un2011quadri_larg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un2011quadri_larg100.png"/>
                  <pic:cNvPicPr>
                    <a:picLocks noChangeAspect="1" noChangeArrowheads="1"/>
                  </pic:cNvPicPr>
                </pic:nvPicPr>
                <pic:blipFill>
                  <a:blip r:embed="rId1"/>
                  <a:srcRect/>
                  <a:stretch>
                    <a:fillRect/>
                  </a:stretch>
                </pic:blipFill>
                <pic:spPr bwMode="auto">
                  <a:xfrm>
                    <a:off x="0" y="0"/>
                    <a:ext cx="1019175" cy="552450"/>
                  </a:xfrm>
                  <a:prstGeom prst="rect">
                    <a:avLst/>
                  </a:prstGeom>
                  <a:noFill/>
                  <a:ln w="9525">
                    <a:noFill/>
                    <a:miter lim="800000"/>
                    <a:headEnd/>
                    <a:tailEnd/>
                  </a:ln>
                </pic:spPr>
              </pic:pic>
            </a:graphicData>
          </a:graphic>
        </wp:inline>
      </w:drawing>
    </w:r>
    <w:r>
      <w:rPr>
        <w:noProof/>
        <w:lang w:eastAsia="fr-FR"/>
      </w:rPr>
      <w:t xml:space="preserve">  </w:t>
    </w:r>
    <w:r>
      <w:rPr>
        <w:noProof/>
        <w:lang w:eastAsia="fr-FR"/>
      </w:rPr>
      <w:tab/>
    </w:r>
    <w:r w:rsidR="00D123CE">
      <w:rPr>
        <w:noProof/>
        <w:lang w:eastAsia="fr-FR"/>
      </w:rPr>
      <w:drawing>
        <wp:inline distT="0" distB="0" distL="0" distR="0">
          <wp:extent cx="447675" cy="571500"/>
          <wp:effectExtent l="19050" t="0" r="9525" b="0"/>
          <wp:docPr id="2" name="Image 2" descr="Logo phar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pharma-1.jpg"/>
                  <pic:cNvPicPr>
                    <a:picLocks noChangeAspect="1" noChangeArrowheads="1"/>
                  </pic:cNvPicPr>
                </pic:nvPicPr>
                <pic:blipFill>
                  <a:blip r:embed="rId2"/>
                  <a:srcRect/>
                  <a:stretch>
                    <a:fillRect/>
                  </a:stretch>
                </pic:blipFill>
                <pic:spPr bwMode="auto">
                  <a:xfrm>
                    <a:off x="0" y="0"/>
                    <a:ext cx="447675" cy="571500"/>
                  </a:xfrm>
                  <a:prstGeom prst="rect">
                    <a:avLst/>
                  </a:prstGeom>
                  <a:noFill/>
                  <a:ln w="9525">
                    <a:noFill/>
                    <a:miter lim="800000"/>
                    <a:headEnd/>
                    <a:tailEnd/>
                  </a:ln>
                </pic:spPr>
              </pic:pic>
            </a:graphicData>
          </a:graphic>
        </wp:inline>
      </w:drawing>
    </w:r>
  </w:p>
  <w:p w:rsidR="002C41CD" w:rsidRDefault="002C41C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F93"/>
    <w:multiLevelType w:val="hybridMultilevel"/>
    <w:tmpl w:val="4BBE13B8"/>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
    <w:nsid w:val="13E91450"/>
    <w:multiLevelType w:val="hybridMultilevel"/>
    <w:tmpl w:val="83F60000"/>
    <w:lvl w:ilvl="0" w:tplc="883A957E">
      <w:start w:val="1"/>
      <w:numFmt w:val="lowerLetter"/>
      <w:lvlText w:val="%1."/>
      <w:lvlJc w:val="left"/>
      <w:pPr>
        <w:tabs>
          <w:tab w:val="num" w:pos="720"/>
        </w:tabs>
        <w:ind w:left="720" w:hanging="360"/>
      </w:pPr>
      <w:rPr>
        <w:rFonts w:hint="default"/>
        <w:b/>
        <w:caps/>
        <w:sz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3D1E23DA">
      <w:start w:val="1"/>
      <w:numFmt w:val="decimal"/>
      <w:lvlText w:val="%4."/>
      <w:lvlJc w:val="left"/>
      <w:pPr>
        <w:tabs>
          <w:tab w:val="num" w:pos="3240"/>
        </w:tabs>
        <w:ind w:left="2880" w:hanging="360"/>
      </w:pPr>
      <w:rPr>
        <w:rFonts w:hint="default"/>
        <w:b/>
        <w:i w:val="0"/>
        <w:caps/>
        <w:color w:val="000000"/>
        <w:sz w:val="24"/>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27E7F2E"/>
    <w:multiLevelType w:val="hybridMultilevel"/>
    <w:tmpl w:val="81D64D8A"/>
    <w:lvl w:ilvl="0" w:tplc="040C0011">
      <w:start w:val="2"/>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64310086"/>
    <w:multiLevelType w:val="multilevel"/>
    <w:tmpl w:val="040C0021"/>
    <w:lvl w:ilvl="0">
      <w:start w:val="1"/>
      <w:numFmt w:val="bullet"/>
      <w:lvlText w:val=""/>
      <w:lvlJc w:val="left"/>
      <w:pPr>
        <w:tabs>
          <w:tab w:val="num" w:pos="1776"/>
        </w:tabs>
        <w:ind w:left="1776" w:hanging="360"/>
      </w:pPr>
      <w:rPr>
        <w:rFonts w:ascii="Wingdings" w:hAnsi="Wingdings" w:hint="default"/>
      </w:rPr>
    </w:lvl>
    <w:lvl w:ilvl="1">
      <w:start w:val="1"/>
      <w:numFmt w:val="bullet"/>
      <w:lvlText w:val=""/>
      <w:lvlJc w:val="left"/>
      <w:pPr>
        <w:tabs>
          <w:tab w:val="num" w:pos="2136"/>
        </w:tabs>
        <w:ind w:left="2136" w:hanging="360"/>
      </w:pPr>
      <w:rPr>
        <w:rFonts w:ascii="Wingdings" w:hAnsi="Wingdings" w:hint="default"/>
      </w:rPr>
    </w:lvl>
    <w:lvl w:ilvl="2">
      <w:start w:val="1"/>
      <w:numFmt w:val="bullet"/>
      <w:lvlText w:val=""/>
      <w:lvlJc w:val="left"/>
      <w:pPr>
        <w:tabs>
          <w:tab w:val="num" w:pos="2496"/>
        </w:tabs>
        <w:ind w:left="2496" w:hanging="360"/>
      </w:pPr>
      <w:rPr>
        <w:rFonts w:ascii="Wingdings" w:hAnsi="Wingdings" w:hint="default"/>
      </w:rPr>
    </w:lvl>
    <w:lvl w:ilvl="3">
      <w:start w:val="1"/>
      <w:numFmt w:val="bullet"/>
      <w:lvlText w:val=""/>
      <w:lvlJc w:val="left"/>
      <w:pPr>
        <w:tabs>
          <w:tab w:val="num" w:pos="2856"/>
        </w:tabs>
        <w:ind w:left="2856" w:hanging="360"/>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4">
    <w:nsid w:val="69925866"/>
    <w:multiLevelType w:val="hybridMultilevel"/>
    <w:tmpl w:val="F3B059BE"/>
    <w:lvl w:ilvl="0" w:tplc="05B4270A">
      <w:numFmt w:val="bullet"/>
      <w:lvlText w:val="-"/>
      <w:lvlJc w:val="left"/>
      <w:pPr>
        <w:tabs>
          <w:tab w:val="num" w:pos="720"/>
        </w:tabs>
        <w:ind w:left="720" w:hanging="360"/>
      </w:pPr>
      <w:rPr>
        <w:rFonts w:ascii="Calibri" w:eastAsia="Calibri" w:hAnsi="Calibri"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defaultTabStop w:val="708"/>
  <w:hyphenationZone w:val="425"/>
  <w:drawingGridHorizontalSpacing w:val="110"/>
  <w:displayHorizontalDrawingGridEvery w:val="2"/>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590D1E"/>
    <w:rsid w:val="0000132A"/>
    <w:rsid w:val="00011FCF"/>
    <w:rsid w:val="00021E12"/>
    <w:rsid w:val="000A0AC0"/>
    <w:rsid w:val="000B575D"/>
    <w:rsid w:val="000E426D"/>
    <w:rsid w:val="000E4ED8"/>
    <w:rsid w:val="000F5B11"/>
    <w:rsid w:val="001A01F4"/>
    <w:rsid w:val="001C6057"/>
    <w:rsid w:val="0022790A"/>
    <w:rsid w:val="002C41CD"/>
    <w:rsid w:val="002F03C1"/>
    <w:rsid w:val="002F1BFD"/>
    <w:rsid w:val="002F4788"/>
    <w:rsid w:val="004C16FA"/>
    <w:rsid w:val="00550D0D"/>
    <w:rsid w:val="00590D1E"/>
    <w:rsid w:val="0061700A"/>
    <w:rsid w:val="006271B0"/>
    <w:rsid w:val="00684B6F"/>
    <w:rsid w:val="00691FFE"/>
    <w:rsid w:val="00737166"/>
    <w:rsid w:val="00741F5E"/>
    <w:rsid w:val="00980E70"/>
    <w:rsid w:val="00A65836"/>
    <w:rsid w:val="00AA07E9"/>
    <w:rsid w:val="00C51FB6"/>
    <w:rsid w:val="00C5456F"/>
    <w:rsid w:val="00D123CE"/>
    <w:rsid w:val="00D30214"/>
    <w:rsid w:val="00D3194B"/>
    <w:rsid w:val="00D51023"/>
    <w:rsid w:val="00D5684B"/>
    <w:rsid w:val="00D60AE6"/>
    <w:rsid w:val="00E5209B"/>
    <w:rsid w:val="00F46ACB"/>
    <w:rsid w:val="00FD02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1CD"/>
    <w:pPr>
      <w:spacing w:after="200" w:line="276" w:lineRule="auto"/>
    </w:pPr>
    <w:rPr>
      <w:sz w:val="22"/>
      <w:szCs w:val="22"/>
      <w:lang w:eastAsia="en-US"/>
    </w:rPr>
  </w:style>
  <w:style w:type="character" w:default="1" w:styleId="Policepardfaut">
    <w:name w:val="Default Paragraph Font"/>
    <w:uiPriority w:val="1"/>
    <w:semiHidden/>
    <w:unhideWhenUsed/>
    <w:rsid w:val="002C41C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rsid w:val="002C41CD"/>
  </w:style>
  <w:style w:type="table" w:styleId="Grilledutableau">
    <w:name w:val="Table Grid"/>
    <w:basedOn w:val="TableauNormal"/>
    <w:uiPriority w:val="59"/>
    <w:rsid w:val="00684B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mbrageclair">
    <w:name w:val="Light Shading"/>
    <w:basedOn w:val="TableauNormal"/>
    <w:uiPriority w:val="60"/>
    <w:rsid w:val="00684B6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
    <w:name w:val="Light Shading Accent 1"/>
    <w:basedOn w:val="TableauNormal"/>
    <w:uiPriority w:val="60"/>
    <w:rsid w:val="00684B6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684B6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684B6F"/>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5">
    <w:name w:val="Light Shading Accent 5"/>
    <w:basedOn w:val="TableauNormal"/>
    <w:uiPriority w:val="60"/>
    <w:rsid w:val="00684B6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En-tte">
    <w:name w:val="header"/>
    <w:basedOn w:val="Normal"/>
    <w:link w:val="En-tteCar"/>
    <w:uiPriority w:val="99"/>
    <w:unhideWhenUsed/>
    <w:rsid w:val="002C41CD"/>
    <w:pPr>
      <w:tabs>
        <w:tab w:val="center" w:pos="4536"/>
        <w:tab w:val="right" w:pos="9072"/>
      </w:tabs>
      <w:spacing w:after="0" w:line="240" w:lineRule="auto"/>
    </w:pPr>
  </w:style>
  <w:style w:type="character" w:customStyle="1" w:styleId="En-tteCar">
    <w:name w:val="En-tête Car"/>
    <w:basedOn w:val="Policepardfaut"/>
    <w:link w:val="En-tte"/>
    <w:uiPriority w:val="99"/>
    <w:rsid w:val="002C41CD"/>
    <w:rPr>
      <w:rFonts w:ascii="Calibri" w:eastAsia="Calibri" w:hAnsi="Calibri" w:cs="Times New Roman"/>
      <w:sz w:val="22"/>
      <w:szCs w:val="22"/>
      <w:lang w:eastAsia="en-US"/>
    </w:rPr>
  </w:style>
  <w:style w:type="paragraph" w:styleId="Pieddepage">
    <w:name w:val="footer"/>
    <w:basedOn w:val="Normal"/>
    <w:link w:val="PieddepageCar"/>
    <w:uiPriority w:val="99"/>
    <w:semiHidden/>
    <w:unhideWhenUsed/>
    <w:rsid w:val="002C41C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C41CD"/>
    <w:rPr>
      <w:rFonts w:ascii="Calibri" w:eastAsia="Calibri" w:hAnsi="Calibri" w:cs="Times New Roman"/>
      <w:sz w:val="22"/>
      <w:szCs w:val="22"/>
      <w:lang w:eastAsia="en-US"/>
    </w:rPr>
  </w:style>
  <w:style w:type="paragraph" w:styleId="Textedebulles">
    <w:name w:val="Balloon Text"/>
    <w:basedOn w:val="Normal"/>
    <w:link w:val="TextedebullesCar"/>
    <w:uiPriority w:val="99"/>
    <w:semiHidden/>
    <w:unhideWhenUsed/>
    <w:rsid w:val="002C41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41CD"/>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ices-2\Mes%20documents\SITE%20pharma\fiche%20formation\modele_fiche_pedag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6FC0B-4F87-4780-B981-4D43E7B5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modele_fiche_pedago.dotx</Template>
  <TotalTime>8</TotalTime>
  <Pages>6</Pages>
  <Words>1208</Words>
  <Characters>6645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2013-01-17T09:38:00Z</cp:lastPrinted>
  <dcterms:created xsi:type="dcterms:W3CDTF">2013-01-21T08:46:00Z</dcterms:created>
  <dcterms:modified xsi:type="dcterms:W3CDTF">2013-01-21T08:53:00Z</dcterms:modified>
</cp:coreProperties>
</file>