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6E9" w:rsidRDefault="004636E9" w:rsidP="004636E9">
      <w:pPr>
        <w:spacing w:after="0"/>
        <w:rPr>
          <w:rFonts w:ascii="Arial Narrow" w:hAnsi="Arial Narrow" w:cs="Calibri"/>
          <w:b/>
          <w:sz w:val="36"/>
          <w:szCs w:val="36"/>
        </w:rPr>
      </w:pPr>
    </w:p>
    <w:p w:rsidR="00F26659" w:rsidRDefault="00F26659" w:rsidP="004636E9">
      <w:pPr>
        <w:spacing w:after="0"/>
        <w:rPr>
          <w:b/>
          <w:sz w:val="36"/>
          <w:szCs w:val="36"/>
        </w:rPr>
      </w:pPr>
      <w:r w:rsidRPr="00F26659">
        <w:rPr>
          <w:b/>
          <w:sz w:val="36"/>
          <w:szCs w:val="36"/>
        </w:rPr>
        <w:t>UEF 16 Choix Obligatoire (3 ECTS)</w:t>
      </w:r>
    </w:p>
    <w:p w:rsidR="003F74B7" w:rsidRPr="003F74B7" w:rsidRDefault="004636E9" w:rsidP="004636E9">
      <w:pPr>
        <w:spacing w:after="0"/>
        <w:rPr>
          <w:rFonts w:ascii="Arial Narrow" w:hAnsi="Arial Narrow" w:cs="Calibri"/>
          <w:b/>
          <w:sz w:val="24"/>
          <w:szCs w:val="24"/>
        </w:rPr>
      </w:pPr>
      <w:r w:rsidRPr="004636E9">
        <w:rPr>
          <w:rFonts w:ascii="Arial Narrow" w:hAnsi="Arial Narrow" w:cs="Calibri"/>
          <w:b/>
          <w:sz w:val="32"/>
          <w:szCs w:val="28"/>
        </w:rPr>
        <w:t>UE 16-2 Reconnaissance et Contrôle des Plantes en Pharmacie</w:t>
      </w:r>
      <w:r>
        <w:rPr>
          <w:rFonts w:ascii="Arial Narrow" w:hAnsi="Arial Narrow" w:cs="Calibri"/>
          <w:b/>
          <w:sz w:val="28"/>
          <w:szCs w:val="28"/>
        </w:rPr>
        <w:br/>
      </w:r>
      <w:r w:rsidR="003F74B7" w:rsidRPr="003F74B7">
        <w:rPr>
          <w:rFonts w:ascii="Arial Narrow" w:hAnsi="Arial Narrow" w:cs="Calibri"/>
          <w:b/>
          <w:sz w:val="24"/>
          <w:szCs w:val="24"/>
        </w:rPr>
        <w:t xml:space="preserve">Responsable : Claire </w:t>
      </w:r>
      <w:proofErr w:type="spellStart"/>
      <w:r w:rsidR="003F74B7" w:rsidRPr="003F74B7">
        <w:rPr>
          <w:rFonts w:ascii="Arial Narrow" w:hAnsi="Arial Narrow" w:cs="Calibri"/>
          <w:b/>
          <w:sz w:val="24"/>
          <w:szCs w:val="24"/>
        </w:rPr>
        <w:t>Sallenave</w:t>
      </w:r>
      <w:proofErr w:type="spellEnd"/>
      <w:r w:rsidR="003F74B7" w:rsidRPr="003F74B7">
        <w:rPr>
          <w:rFonts w:ascii="Arial Narrow" w:hAnsi="Arial Narrow" w:cs="Calibri"/>
          <w:b/>
          <w:sz w:val="24"/>
          <w:szCs w:val="24"/>
        </w:rPr>
        <w:t>-</w:t>
      </w:r>
      <w:proofErr w:type="spellStart"/>
      <w:r w:rsidR="003F74B7" w:rsidRPr="003F74B7">
        <w:rPr>
          <w:rFonts w:ascii="Arial Narrow" w:hAnsi="Arial Narrow" w:cs="Calibri"/>
          <w:b/>
          <w:sz w:val="24"/>
          <w:szCs w:val="24"/>
        </w:rPr>
        <w:t>Namont</w:t>
      </w:r>
      <w:proofErr w:type="spellEnd"/>
    </w:p>
    <w:p w:rsidR="003F74B7" w:rsidRPr="003F74B7" w:rsidRDefault="003F74B7" w:rsidP="00017A63">
      <w:pPr>
        <w:spacing w:after="0"/>
        <w:rPr>
          <w:rFonts w:ascii="Arial Narrow" w:hAnsi="Arial Narrow" w:cs="Calibri"/>
          <w:b/>
          <w:sz w:val="32"/>
          <w:szCs w:val="32"/>
        </w:rPr>
      </w:pPr>
    </w:p>
    <w:p w:rsidR="00783982" w:rsidRPr="003F74B7" w:rsidRDefault="00783982" w:rsidP="00017A63">
      <w:pPr>
        <w:spacing w:after="0"/>
        <w:rPr>
          <w:rFonts w:ascii="Arial Narrow" w:hAnsi="Arial Narrow" w:cs="Calibri"/>
          <w:b/>
          <w:sz w:val="24"/>
          <w:szCs w:val="24"/>
        </w:rPr>
      </w:pPr>
      <w:r w:rsidRPr="003F74B7">
        <w:rPr>
          <w:rFonts w:ascii="Arial Narrow" w:hAnsi="Arial Narrow" w:cs="Calibri"/>
          <w:b/>
          <w:sz w:val="24"/>
          <w:szCs w:val="24"/>
        </w:rPr>
        <w:t>Répartition des heures d’enseignement</w:t>
      </w:r>
      <w:r w:rsidR="003F74B7" w:rsidRPr="003F74B7">
        <w:rPr>
          <w:rFonts w:ascii="Arial Narrow" w:hAnsi="Arial Narrow" w:cs="Calibri"/>
          <w:b/>
          <w:sz w:val="24"/>
          <w:szCs w:val="24"/>
        </w:rPr>
        <w:t> :</w:t>
      </w:r>
    </w:p>
    <w:p w:rsidR="003F74B7" w:rsidRPr="003F74B7" w:rsidRDefault="003F74B7" w:rsidP="00017A63">
      <w:pPr>
        <w:spacing w:after="0"/>
        <w:rPr>
          <w:rFonts w:ascii="Arial Narrow" w:hAnsi="Arial Narrow" w:cs="Calibri"/>
          <w:b/>
          <w:sz w:val="24"/>
          <w:szCs w:val="24"/>
        </w:rPr>
      </w:pPr>
    </w:p>
    <w:tbl>
      <w:tblPr>
        <w:tblW w:w="0" w:type="auto"/>
        <w:tblBorders>
          <w:top w:val="single" w:sz="8" w:space="0" w:color="4F81BD"/>
          <w:bottom w:val="single" w:sz="8" w:space="0" w:color="4F81BD"/>
        </w:tblBorders>
        <w:tblLook w:val="04A0"/>
      </w:tblPr>
      <w:tblGrid>
        <w:gridCol w:w="917"/>
        <w:gridCol w:w="906"/>
        <w:gridCol w:w="911"/>
        <w:gridCol w:w="911"/>
        <w:gridCol w:w="906"/>
        <w:gridCol w:w="906"/>
        <w:gridCol w:w="1111"/>
        <w:gridCol w:w="906"/>
        <w:gridCol w:w="907"/>
        <w:gridCol w:w="907"/>
      </w:tblGrid>
      <w:tr w:rsidR="00783982" w:rsidRPr="003F74B7">
        <w:trPr>
          <w:trHeight w:val="245"/>
        </w:trPr>
        <w:tc>
          <w:tcPr>
            <w:tcW w:w="1823" w:type="dxa"/>
            <w:gridSpan w:val="2"/>
            <w:tcBorders>
              <w:top w:val="single" w:sz="8" w:space="0" w:color="4F81BD"/>
              <w:left w:val="nil"/>
              <w:bottom w:val="single" w:sz="8" w:space="0" w:color="4F81BD"/>
              <w:right w:val="nil"/>
            </w:tcBorders>
          </w:tcPr>
          <w:p w:rsidR="00783982" w:rsidRPr="003F74B7" w:rsidRDefault="00783982" w:rsidP="00017A63">
            <w:pPr>
              <w:spacing w:after="0" w:line="240" w:lineRule="auto"/>
              <w:rPr>
                <w:rFonts w:ascii="Arial Narrow" w:hAnsi="Arial Narrow" w:cs="Calibri"/>
                <w:b/>
                <w:bCs/>
                <w:color w:val="365F91"/>
              </w:rPr>
            </w:pPr>
            <w:r w:rsidRPr="003F74B7">
              <w:rPr>
                <w:rFonts w:ascii="Arial Narrow" w:hAnsi="Arial Narrow" w:cs="Calibri"/>
                <w:b/>
                <w:bCs/>
                <w:color w:val="365F91"/>
              </w:rPr>
              <w:t xml:space="preserve">CM     </w:t>
            </w:r>
            <w:r w:rsidR="008F0030" w:rsidRPr="003F74B7">
              <w:rPr>
                <w:rFonts w:ascii="Arial Narrow" w:hAnsi="Arial Narrow" w:cs="Calibri"/>
                <w:b/>
                <w:bCs/>
                <w:color w:val="365F91"/>
              </w:rPr>
              <w:t>3</w:t>
            </w:r>
            <w:r w:rsidRPr="003F74B7">
              <w:rPr>
                <w:rFonts w:ascii="Arial Narrow" w:hAnsi="Arial Narrow" w:cs="Calibri"/>
                <w:b/>
                <w:bCs/>
                <w:color w:val="365F91"/>
              </w:rPr>
              <w:t xml:space="preserve"> h</w:t>
            </w:r>
            <w:r w:rsidRPr="003F74B7">
              <w:rPr>
                <w:rFonts w:ascii="Arial Narrow" w:hAnsi="Arial Narrow" w:cs="Calibri"/>
                <w:b/>
                <w:bCs/>
                <w:color w:val="365F91"/>
              </w:rPr>
              <w:tab/>
              <w:t xml:space="preserve">    </w:t>
            </w:r>
          </w:p>
        </w:tc>
        <w:tc>
          <w:tcPr>
            <w:tcW w:w="1822" w:type="dxa"/>
            <w:gridSpan w:val="2"/>
            <w:tcBorders>
              <w:top w:val="single" w:sz="8" w:space="0" w:color="4F81BD"/>
              <w:left w:val="nil"/>
              <w:bottom w:val="single" w:sz="8" w:space="0" w:color="4F81BD"/>
              <w:right w:val="nil"/>
            </w:tcBorders>
          </w:tcPr>
          <w:p w:rsidR="00783982" w:rsidRPr="003F74B7" w:rsidRDefault="00783982" w:rsidP="001D0632">
            <w:pPr>
              <w:spacing w:after="0" w:line="240" w:lineRule="auto"/>
              <w:rPr>
                <w:rFonts w:ascii="Arial Narrow" w:hAnsi="Arial Narrow" w:cs="Calibri"/>
                <w:b/>
                <w:bCs/>
                <w:color w:val="365F91"/>
              </w:rPr>
            </w:pPr>
            <w:r w:rsidRPr="003F74B7">
              <w:rPr>
                <w:rFonts w:ascii="Arial Narrow" w:hAnsi="Arial Narrow" w:cs="Calibri"/>
                <w:b/>
                <w:bCs/>
                <w:color w:val="365F91"/>
              </w:rPr>
              <w:t xml:space="preserve">ED             </w:t>
            </w:r>
            <w:r w:rsidR="008F0030" w:rsidRPr="003F74B7">
              <w:rPr>
                <w:rFonts w:ascii="Arial Narrow" w:hAnsi="Arial Narrow" w:cs="Calibri"/>
                <w:b/>
                <w:bCs/>
                <w:color w:val="365F91"/>
              </w:rPr>
              <w:t>4,5</w:t>
            </w:r>
            <w:r w:rsidRPr="003F74B7">
              <w:rPr>
                <w:rFonts w:ascii="Arial Narrow" w:hAnsi="Arial Narrow" w:cs="Calibri"/>
                <w:b/>
                <w:bCs/>
                <w:color w:val="365F91"/>
              </w:rPr>
              <w:t>h</w:t>
            </w:r>
          </w:p>
        </w:tc>
        <w:tc>
          <w:tcPr>
            <w:tcW w:w="1812" w:type="dxa"/>
            <w:gridSpan w:val="2"/>
            <w:tcBorders>
              <w:top w:val="single" w:sz="8" w:space="0" w:color="4F81BD"/>
              <w:left w:val="nil"/>
              <w:bottom w:val="single" w:sz="8" w:space="0" w:color="4F81BD"/>
              <w:right w:val="nil"/>
            </w:tcBorders>
          </w:tcPr>
          <w:p w:rsidR="00783982" w:rsidRPr="003F74B7" w:rsidRDefault="00783982" w:rsidP="001D0632">
            <w:pPr>
              <w:spacing w:after="0" w:line="240" w:lineRule="auto"/>
              <w:rPr>
                <w:rFonts w:ascii="Arial Narrow" w:hAnsi="Arial Narrow" w:cs="Calibri"/>
                <w:b/>
                <w:bCs/>
                <w:color w:val="365F91"/>
              </w:rPr>
            </w:pPr>
            <w:r w:rsidRPr="003F74B7">
              <w:rPr>
                <w:rFonts w:ascii="Arial Narrow" w:hAnsi="Arial Narrow" w:cs="Calibri"/>
                <w:b/>
                <w:bCs/>
                <w:color w:val="365F91"/>
              </w:rPr>
              <w:t xml:space="preserve">TP             </w:t>
            </w:r>
            <w:r w:rsidR="008F0030" w:rsidRPr="004F28F1">
              <w:rPr>
                <w:rFonts w:ascii="Arial Narrow" w:hAnsi="Arial Narrow" w:cs="Calibri"/>
                <w:b/>
                <w:bCs/>
                <w:color w:val="365F91"/>
              </w:rPr>
              <w:t>1</w:t>
            </w:r>
            <w:r w:rsidR="00357B79" w:rsidRPr="004F28F1">
              <w:rPr>
                <w:rFonts w:ascii="Arial Narrow" w:hAnsi="Arial Narrow" w:cs="Calibri"/>
                <w:b/>
                <w:bCs/>
                <w:color w:val="365F91"/>
              </w:rPr>
              <w:t>6</w:t>
            </w:r>
            <w:r w:rsidRPr="004F28F1">
              <w:rPr>
                <w:rFonts w:ascii="Arial Narrow" w:hAnsi="Arial Narrow" w:cs="Calibri"/>
                <w:b/>
                <w:bCs/>
                <w:color w:val="365F91"/>
              </w:rPr>
              <w:t xml:space="preserve"> h</w:t>
            </w:r>
          </w:p>
        </w:tc>
        <w:tc>
          <w:tcPr>
            <w:tcW w:w="2017" w:type="dxa"/>
            <w:gridSpan w:val="2"/>
            <w:tcBorders>
              <w:top w:val="single" w:sz="8" w:space="0" w:color="4F81BD"/>
              <w:left w:val="nil"/>
              <w:bottom w:val="single" w:sz="8" w:space="0" w:color="4F81BD"/>
              <w:right w:val="nil"/>
            </w:tcBorders>
          </w:tcPr>
          <w:p w:rsidR="00783982" w:rsidRPr="003F74B7" w:rsidRDefault="00783982" w:rsidP="000F5B11">
            <w:pPr>
              <w:spacing w:after="0" w:line="240" w:lineRule="auto"/>
              <w:rPr>
                <w:rFonts w:ascii="Arial Narrow" w:hAnsi="Arial Narrow" w:cs="Calibri"/>
                <w:b/>
                <w:bCs/>
                <w:color w:val="365F91"/>
              </w:rPr>
            </w:pPr>
            <w:r w:rsidRPr="003F74B7">
              <w:rPr>
                <w:rFonts w:ascii="Arial Narrow" w:hAnsi="Arial Narrow" w:cs="Calibri"/>
                <w:b/>
                <w:bCs/>
                <w:color w:val="365F91"/>
              </w:rPr>
              <w:t xml:space="preserve">travail personnel : </w:t>
            </w:r>
            <w:r w:rsidRPr="003F74B7">
              <w:rPr>
                <w:rFonts w:ascii="Arial Narrow" w:hAnsi="Arial Narrow" w:cs="Calibri"/>
                <w:b/>
                <w:bCs/>
                <w:color w:val="365F91"/>
              </w:rPr>
              <w:tab/>
            </w:r>
          </w:p>
        </w:tc>
        <w:tc>
          <w:tcPr>
            <w:tcW w:w="1814" w:type="dxa"/>
            <w:gridSpan w:val="2"/>
            <w:tcBorders>
              <w:top w:val="single" w:sz="8" w:space="0" w:color="4F81BD"/>
              <w:left w:val="nil"/>
              <w:bottom w:val="single" w:sz="8" w:space="0" w:color="4F81BD"/>
              <w:right w:val="nil"/>
            </w:tcBorders>
          </w:tcPr>
          <w:p w:rsidR="00783982" w:rsidRPr="003F74B7" w:rsidRDefault="00783982" w:rsidP="000F5B11">
            <w:pPr>
              <w:spacing w:after="0" w:line="240" w:lineRule="auto"/>
              <w:rPr>
                <w:rFonts w:ascii="Arial Narrow" w:hAnsi="Arial Narrow" w:cs="Calibri"/>
                <w:b/>
                <w:bCs/>
                <w:color w:val="365F91"/>
              </w:rPr>
            </w:pPr>
            <w:r w:rsidRPr="003F74B7">
              <w:rPr>
                <w:rFonts w:ascii="Arial Narrow" w:hAnsi="Arial Narrow" w:cs="Calibri"/>
                <w:b/>
                <w:bCs/>
                <w:color w:val="365F91"/>
              </w:rPr>
              <w:t xml:space="preserve">       </w:t>
            </w:r>
            <w:r w:rsidR="00357B79" w:rsidRPr="004F28F1">
              <w:rPr>
                <w:rFonts w:ascii="Arial Narrow" w:hAnsi="Arial Narrow" w:cs="Calibri"/>
                <w:b/>
                <w:bCs/>
                <w:color w:val="365F91"/>
              </w:rPr>
              <w:t>12</w:t>
            </w:r>
            <w:r w:rsidRPr="004F28F1">
              <w:rPr>
                <w:rFonts w:ascii="Arial Narrow" w:hAnsi="Arial Narrow" w:cs="Calibri"/>
                <w:b/>
                <w:bCs/>
                <w:color w:val="365F91"/>
              </w:rPr>
              <w:t xml:space="preserve"> h</w:t>
            </w:r>
          </w:p>
        </w:tc>
      </w:tr>
      <w:tr w:rsidR="00783982" w:rsidRPr="003F74B7">
        <w:trPr>
          <w:trHeight w:val="110"/>
        </w:trPr>
        <w:tc>
          <w:tcPr>
            <w:tcW w:w="917" w:type="dxa"/>
            <w:tcBorders>
              <w:left w:val="nil"/>
              <w:bottom w:val="single" w:sz="8" w:space="0" w:color="4F81BD"/>
              <w:right w:val="nil"/>
            </w:tcBorders>
            <w:shd w:val="clear" w:color="auto" w:fill="D3DFEE"/>
          </w:tcPr>
          <w:p w:rsidR="00783982" w:rsidRPr="003F74B7" w:rsidRDefault="00783982" w:rsidP="000F5B11">
            <w:pPr>
              <w:spacing w:after="0" w:line="240" w:lineRule="auto"/>
              <w:rPr>
                <w:rFonts w:ascii="Arial Narrow" w:hAnsi="Arial Narrow" w:cs="Calibri"/>
                <w:b/>
                <w:bCs/>
                <w:color w:val="365F91"/>
              </w:rPr>
            </w:pPr>
          </w:p>
        </w:tc>
        <w:tc>
          <w:tcPr>
            <w:tcW w:w="906" w:type="dxa"/>
            <w:tcBorders>
              <w:left w:val="nil"/>
              <w:bottom w:val="single" w:sz="8" w:space="0" w:color="4F81BD"/>
              <w:right w:val="nil"/>
            </w:tcBorders>
            <w:shd w:val="clear" w:color="auto" w:fill="D3DFEE"/>
          </w:tcPr>
          <w:p w:rsidR="00783982" w:rsidRPr="003F74B7" w:rsidRDefault="00783982" w:rsidP="000F5B11">
            <w:pPr>
              <w:spacing w:after="0" w:line="240" w:lineRule="auto"/>
              <w:rPr>
                <w:rFonts w:ascii="Arial Narrow" w:hAnsi="Arial Narrow" w:cs="Calibri"/>
                <w:color w:val="365F91"/>
              </w:rPr>
            </w:pPr>
          </w:p>
        </w:tc>
        <w:tc>
          <w:tcPr>
            <w:tcW w:w="911" w:type="dxa"/>
            <w:tcBorders>
              <w:left w:val="nil"/>
              <w:bottom w:val="single" w:sz="8" w:space="0" w:color="4F81BD"/>
              <w:right w:val="nil"/>
            </w:tcBorders>
            <w:shd w:val="clear" w:color="auto" w:fill="D3DFEE"/>
          </w:tcPr>
          <w:p w:rsidR="00783982" w:rsidRPr="003F74B7" w:rsidRDefault="00783982" w:rsidP="000F5B11">
            <w:pPr>
              <w:spacing w:after="0" w:line="240" w:lineRule="auto"/>
              <w:rPr>
                <w:rFonts w:ascii="Arial Narrow" w:hAnsi="Arial Narrow" w:cs="Calibri"/>
                <w:color w:val="365F91"/>
              </w:rPr>
            </w:pPr>
          </w:p>
        </w:tc>
        <w:tc>
          <w:tcPr>
            <w:tcW w:w="911" w:type="dxa"/>
            <w:tcBorders>
              <w:left w:val="nil"/>
              <w:bottom w:val="single" w:sz="8" w:space="0" w:color="4F81BD"/>
              <w:right w:val="nil"/>
            </w:tcBorders>
            <w:shd w:val="clear" w:color="auto" w:fill="D3DFEE"/>
          </w:tcPr>
          <w:p w:rsidR="00783982" w:rsidRPr="003F74B7" w:rsidRDefault="00783982" w:rsidP="000F5B11">
            <w:pPr>
              <w:spacing w:after="0" w:line="240" w:lineRule="auto"/>
              <w:rPr>
                <w:rFonts w:ascii="Arial Narrow" w:hAnsi="Arial Narrow" w:cs="Calibri"/>
                <w:color w:val="365F91"/>
              </w:rPr>
            </w:pPr>
          </w:p>
        </w:tc>
        <w:tc>
          <w:tcPr>
            <w:tcW w:w="906" w:type="dxa"/>
            <w:tcBorders>
              <w:left w:val="nil"/>
              <w:bottom w:val="single" w:sz="8" w:space="0" w:color="4F81BD"/>
              <w:right w:val="nil"/>
            </w:tcBorders>
            <w:shd w:val="clear" w:color="auto" w:fill="D3DFEE"/>
          </w:tcPr>
          <w:p w:rsidR="00783982" w:rsidRPr="003F74B7" w:rsidRDefault="00783982" w:rsidP="000F5B11">
            <w:pPr>
              <w:spacing w:after="0" w:line="240" w:lineRule="auto"/>
              <w:rPr>
                <w:rFonts w:ascii="Arial Narrow" w:hAnsi="Arial Narrow" w:cs="Calibri"/>
                <w:color w:val="365F91"/>
              </w:rPr>
            </w:pPr>
          </w:p>
        </w:tc>
        <w:tc>
          <w:tcPr>
            <w:tcW w:w="906" w:type="dxa"/>
            <w:tcBorders>
              <w:left w:val="nil"/>
              <w:bottom w:val="single" w:sz="8" w:space="0" w:color="4F81BD"/>
              <w:right w:val="nil"/>
            </w:tcBorders>
            <w:shd w:val="clear" w:color="auto" w:fill="D3DFEE"/>
          </w:tcPr>
          <w:p w:rsidR="00783982" w:rsidRPr="003F74B7" w:rsidRDefault="00783982" w:rsidP="000F5B11">
            <w:pPr>
              <w:spacing w:after="0" w:line="240" w:lineRule="auto"/>
              <w:rPr>
                <w:rFonts w:ascii="Arial Narrow" w:hAnsi="Arial Narrow" w:cs="Calibri"/>
                <w:color w:val="365F91"/>
              </w:rPr>
            </w:pPr>
          </w:p>
        </w:tc>
        <w:tc>
          <w:tcPr>
            <w:tcW w:w="1111" w:type="dxa"/>
            <w:tcBorders>
              <w:left w:val="nil"/>
              <w:bottom w:val="single" w:sz="8" w:space="0" w:color="4F81BD"/>
              <w:right w:val="nil"/>
            </w:tcBorders>
            <w:shd w:val="clear" w:color="auto" w:fill="D3DFEE"/>
          </w:tcPr>
          <w:p w:rsidR="00783982" w:rsidRPr="003F74B7" w:rsidRDefault="00783982" w:rsidP="000F5B11">
            <w:pPr>
              <w:spacing w:after="0" w:line="240" w:lineRule="auto"/>
              <w:rPr>
                <w:rFonts w:ascii="Arial Narrow" w:hAnsi="Arial Narrow" w:cs="Calibri"/>
                <w:color w:val="365F91"/>
              </w:rPr>
            </w:pPr>
          </w:p>
        </w:tc>
        <w:tc>
          <w:tcPr>
            <w:tcW w:w="906" w:type="dxa"/>
            <w:tcBorders>
              <w:left w:val="nil"/>
              <w:bottom w:val="single" w:sz="8" w:space="0" w:color="4F81BD"/>
              <w:right w:val="nil"/>
            </w:tcBorders>
            <w:shd w:val="clear" w:color="auto" w:fill="D3DFEE"/>
          </w:tcPr>
          <w:p w:rsidR="00783982" w:rsidRPr="003F74B7" w:rsidRDefault="00783982" w:rsidP="000F5B11">
            <w:pPr>
              <w:spacing w:after="0" w:line="240" w:lineRule="auto"/>
              <w:rPr>
                <w:rFonts w:ascii="Arial Narrow" w:hAnsi="Arial Narrow" w:cs="Calibri"/>
                <w:color w:val="365F91"/>
              </w:rPr>
            </w:pPr>
          </w:p>
        </w:tc>
        <w:tc>
          <w:tcPr>
            <w:tcW w:w="907" w:type="dxa"/>
            <w:tcBorders>
              <w:left w:val="nil"/>
              <w:bottom w:val="single" w:sz="8" w:space="0" w:color="4F81BD"/>
              <w:right w:val="nil"/>
            </w:tcBorders>
            <w:shd w:val="clear" w:color="auto" w:fill="D3DFEE"/>
          </w:tcPr>
          <w:p w:rsidR="00783982" w:rsidRPr="003F74B7" w:rsidRDefault="00783982" w:rsidP="000F5B11">
            <w:pPr>
              <w:spacing w:after="0" w:line="240" w:lineRule="auto"/>
              <w:rPr>
                <w:rFonts w:ascii="Arial Narrow" w:hAnsi="Arial Narrow" w:cs="Calibri"/>
                <w:color w:val="365F91"/>
              </w:rPr>
            </w:pPr>
          </w:p>
        </w:tc>
        <w:tc>
          <w:tcPr>
            <w:tcW w:w="907" w:type="dxa"/>
            <w:tcBorders>
              <w:left w:val="nil"/>
              <w:bottom w:val="single" w:sz="8" w:space="0" w:color="4F81BD"/>
              <w:right w:val="nil"/>
            </w:tcBorders>
            <w:shd w:val="clear" w:color="auto" w:fill="D3DFEE"/>
          </w:tcPr>
          <w:p w:rsidR="00783982" w:rsidRPr="003F74B7" w:rsidRDefault="00783982" w:rsidP="000F5B11">
            <w:pPr>
              <w:spacing w:after="0" w:line="240" w:lineRule="auto"/>
              <w:rPr>
                <w:rFonts w:ascii="Arial Narrow" w:hAnsi="Arial Narrow" w:cs="Calibri"/>
                <w:color w:val="365F91"/>
              </w:rPr>
            </w:pPr>
          </w:p>
        </w:tc>
      </w:tr>
    </w:tbl>
    <w:p w:rsidR="00783982" w:rsidRDefault="00783982" w:rsidP="00FA0675">
      <w:pPr>
        <w:rPr>
          <w:rFonts w:ascii="Arial Narrow" w:hAnsi="Arial Narrow" w:cs="Calibri"/>
          <w:b/>
          <w:sz w:val="24"/>
          <w:szCs w:val="24"/>
        </w:rPr>
      </w:pPr>
    </w:p>
    <w:p w:rsidR="003F74B7" w:rsidRDefault="003F74B7" w:rsidP="00FA0675">
      <w:pPr>
        <w:rPr>
          <w:rFonts w:ascii="Arial Narrow" w:hAnsi="Arial Narrow" w:cs="Calibri"/>
          <w:b/>
          <w:sz w:val="24"/>
          <w:szCs w:val="24"/>
        </w:rPr>
      </w:pPr>
      <w:r>
        <w:rPr>
          <w:rFonts w:ascii="Arial Narrow" w:hAnsi="Arial Narrow" w:cs="Calibri"/>
          <w:b/>
          <w:sz w:val="24"/>
          <w:szCs w:val="24"/>
        </w:rPr>
        <w:t>Effectif maximal : 51 étudiants</w:t>
      </w:r>
    </w:p>
    <w:p w:rsidR="003F74B7" w:rsidRPr="003F74B7" w:rsidRDefault="003F74B7" w:rsidP="00FA0675">
      <w:pPr>
        <w:rPr>
          <w:rFonts w:ascii="Arial Narrow" w:hAnsi="Arial Narrow" w:cs="Calibri"/>
          <w:b/>
          <w:sz w:val="24"/>
          <w:szCs w:val="24"/>
        </w:rPr>
      </w:pPr>
    </w:p>
    <w:p w:rsidR="00783982" w:rsidRPr="003F74B7" w:rsidRDefault="00783982" w:rsidP="00FA0675">
      <w:pPr>
        <w:rPr>
          <w:rFonts w:ascii="Arial Narrow" w:hAnsi="Arial Narrow" w:cs="Calibri"/>
          <w:b/>
          <w:sz w:val="24"/>
          <w:szCs w:val="24"/>
        </w:rPr>
      </w:pPr>
      <w:r w:rsidRPr="003F74B7">
        <w:rPr>
          <w:rFonts w:ascii="Arial Narrow" w:hAnsi="Arial Narrow" w:cs="Calibri"/>
          <w:b/>
          <w:sz w:val="24"/>
          <w:szCs w:val="24"/>
        </w:rPr>
        <w:t>Objectifs pédagogiques :</w:t>
      </w:r>
    </w:p>
    <w:p w:rsidR="00783982" w:rsidRPr="003F74B7" w:rsidRDefault="00783982" w:rsidP="00755DAC">
      <w:pPr>
        <w:spacing w:after="0"/>
        <w:jc w:val="both"/>
        <w:rPr>
          <w:rFonts w:ascii="Arial Narrow" w:hAnsi="Arial Narrow" w:cs="Calibri"/>
          <w:szCs w:val="20"/>
        </w:rPr>
      </w:pPr>
      <w:r w:rsidRPr="003F74B7">
        <w:rPr>
          <w:rFonts w:ascii="Arial Narrow" w:hAnsi="Arial Narrow" w:cs="Calibri"/>
          <w:szCs w:val="20"/>
        </w:rPr>
        <w:t>Acquérir les savoirs et méthodes pour reconnaître et contrôler les plantes et matières végétales d’intérêt pharmaceutique.</w:t>
      </w:r>
    </w:p>
    <w:p w:rsidR="00783982" w:rsidRPr="003F74B7" w:rsidRDefault="00783982" w:rsidP="00755DAC">
      <w:pPr>
        <w:spacing w:after="0"/>
        <w:jc w:val="both"/>
        <w:rPr>
          <w:rFonts w:ascii="Arial Narrow" w:hAnsi="Arial Narrow" w:cs="Calibri"/>
          <w:szCs w:val="20"/>
        </w:rPr>
      </w:pPr>
      <w:r w:rsidRPr="003F74B7">
        <w:rPr>
          <w:rFonts w:ascii="Arial Narrow" w:hAnsi="Arial Narrow" w:cs="Calibri"/>
          <w:szCs w:val="20"/>
        </w:rPr>
        <w:t>Le module Reconnaissance et Contrôle des Plantes en Pharmacie (RCPP) est basé sur une triple approche méthodologique, cognitive et appliquée. La partie méthodologique décrit les stratégies qui permettent les identifications et contrôles. La base cognitive est constituée par la connaissance des grandes familles botaniques, des principales plantes fraîches régionales d’intérêt pharmaceutique (phytothérapie, plantes toxiques…) et des principales matières sèches végétales utilisées en pharmacie (drogues, matières premières, phytothérapie…). Enfin l’approche appliquée est basée sur des travaux de groupes mettant en œuvre les méthodologies et les connaissances acquises pour résoudre des problèmes d’identification de plantes fraîches et de matières végétales sèches.</w:t>
      </w:r>
    </w:p>
    <w:p w:rsidR="00783982" w:rsidRPr="003F74B7" w:rsidRDefault="00783982" w:rsidP="00755DAC">
      <w:pPr>
        <w:spacing w:after="0"/>
        <w:jc w:val="both"/>
        <w:rPr>
          <w:rFonts w:ascii="Arial Narrow" w:hAnsi="Arial Narrow" w:cs="Calibri"/>
          <w:b/>
          <w:sz w:val="28"/>
          <w:szCs w:val="24"/>
        </w:rPr>
      </w:pPr>
    </w:p>
    <w:p w:rsidR="00783982" w:rsidRPr="003F74B7" w:rsidRDefault="00783982" w:rsidP="00FA0675">
      <w:pPr>
        <w:rPr>
          <w:rFonts w:ascii="Arial Narrow" w:hAnsi="Arial Narrow" w:cs="Calibri"/>
          <w:b/>
          <w:sz w:val="24"/>
          <w:szCs w:val="24"/>
        </w:rPr>
      </w:pPr>
      <w:r w:rsidRPr="003F74B7">
        <w:rPr>
          <w:rFonts w:ascii="Arial Narrow" w:hAnsi="Arial Narrow" w:cs="Calibri"/>
          <w:b/>
          <w:sz w:val="24"/>
          <w:szCs w:val="24"/>
        </w:rPr>
        <w:t>Descriptifs des enseignements, des intervenants et découpage horaire</w:t>
      </w:r>
    </w:p>
    <w:p w:rsidR="00783982" w:rsidRPr="003F74B7" w:rsidRDefault="00783982" w:rsidP="00755DAC">
      <w:pPr>
        <w:spacing w:after="0"/>
        <w:jc w:val="both"/>
        <w:rPr>
          <w:rFonts w:ascii="Arial Narrow" w:hAnsi="Arial Narrow" w:cs="Calibri"/>
          <w:szCs w:val="20"/>
        </w:rPr>
      </w:pPr>
      <w:r w:rsidRPr="003F74B7">
        <w:rPr>
          <w:rFonts w:ascii="Arial Narrow" w:hAnsi="Arial Narrow" w:cs="Calibri"/>
          <w:i/>
          <w:szCs w:val="20"/>
        </w:rPr>
        <w:t>- Plantes et Pharmacie – une introduction</w:t>
      </w:r>
      <w:r w:rsidRPr="003F74B7">
        <w:rPr>
          <w:rFonts w:ascii="Arial Narrow" w:hAnsi="Arial Narrow" w:cs="Calibri"/>
          <w:szCs w:val="20"/>
        </w:rPr>
        <w:t xml:space="preserve"> </w:t>
      </w:r>
    </w:p>
    <w:p w:rsidR="00783982" w:rsidRPr="003F74B7" w:rsidRDefault="00783982" w:rsidP="00755DAC">
      <w:pPr>
        <w:numPr>
          <w:ilvl w:val="0"/>
          <w:numId w:val="2"/>
        </w:numPr>
        <w:spacing w:after="0"/>
        <w:jc w:val="both"/>
        <w:rPr>
          <w:rFonts w:ascii="Arial Narrow" w:hAnsi="Arial Narrow" w:cs="Calibri"/>
          <w:szCs w:val="20"/>
        </w:rPr>
      </w:pPr>
      <w:r w:rsidRPr="003F74B7">
        <w:rPr>
          <w:rFonts w:ascii="Arial Narrow" w:hAnsi="Arial Narrow" w:cs="Calibri"/>
          <w:szCs w:val="20"/>
        </w:rPr>
        <w:t xml:space="preserve">Les plantes et le pharmacien, la réglementation, les plantes dans la pharmacopée </w:t>
      </w:r>
      <w:r w:rsidR="008F0030" w:rsidRPr="003F74B7">
        <w:rPr>
          <w:rFonts w:ascii="Arial Narrow" w:hAnsi="Arial Narrow" w:cs="Calibri"/>
          <w:szCs w:val="20"/>
        </w:rPr>
        <w:t xml:space="preserve">(CM 1H - O </w:t>
      </w:r>
      <w:proofErr w:type="spellStart"/>
      <w:r w:rsidR="008F0030" w:rsidRPr="003F74B7">
        <w:rPr>
          <w:rFonts w:ascii="Arial Narrow" w:hAnsi="Arial Narrow" w:cs="Calibri"/>
          <w:szCs w:val="20"/>
        </w:rPr>
        <w:t>Grovel</w:t>
      </w:r>
      <w:proofErr w:type="spellEnd"/>
      <w:r w:rsidR="008F0030" w:rsidRPr="003F74B7">
        <w:rPr>
          <w:rFonts w:ascii="Arial Narrow" w:hAnsi="Arial Narrow" w:cs="Calibri"/>
          <w:szCs w:val="20"/>
        </w:rPr>
        <w:t>)</w:t>
      </w:r>
    </w:p>
    <w:p w:rsidR="00783982" w:rsidRPr="003F74B7" w:rsidRDefault="00783982" w:rsidP="00755DAC">
      <w:pPr>
        <w:numPr>
          <w:ilvl w:val="0"/>
          <w:numId w:val="2"/>
        </w:numPr>
        <w:spacing w:after="0"/>
        <w:jc w:val="both"/>
        <w:rPr>
          <w:rFonts w:ascii="Arial Narrow" w:hAnsi="Arial Narrow" w:cs="Calibri"/>
          <w:szCs w:val="20"/>
        </w:rPr>
      </w:pPr>
      <w:r w:rsidRPr="003F74B7">
        <w:rPr>
          <w:rFonts w:ascii="Arial Narrow" w:hAnsi="Arial Narrow" w:cs="Calibri"/>
          <w:szCs w:val="20"/>
        </w:rPr>
        <w:t>Acteurs et débouchés de la filière plante pharmaceutique</w:t>
      </w:r>
      <w:r w:rsidR="008F0030" w:rsidRPr="003F74B7">
        <w:rPr>
          <w:rFonts w:ascii="Arial Narrow" w:hAnsi="Arial Narrow" w:cs="Calibri"/>
          <w:szCs w:val="20"/>
        </w:rPr>
        <w:t xml:space="preserve"> (CM 1H - YF </w:t>
      </w:r>
      <w:proofErr w:type="spellStart"/>
      <w:r w:rsidR="008F0030" w:rsidRPr="003F74B7">
        <w:rPr>
          <w:rFonts w:ascii="Arial Narrow" w:hAnsi="Arial Narrow" w:cs="Calibri"/>
          <w:szCs w:val="20"/>
        </w:rPr>
        <w:t>Pouchus</w:t>
      </w:r>
      <w:proofErr w:type="spellEnd"/>
      <w:r w:rsidR="008F0030" w:rsidRPr="003F74B7">
        <w:rPr>
          <w:rFonts w:ascii="Arial Narrow" w:hAnsi="Arial Narrow" w:cs="Calibri"/>
          <w:szCs w:val="20"/>
        </w:rPr>
        <w:t>)</w:t>
      </w:r>
    </w:p>
    <w:p w:rsidR="00783982" w:rsidRPr="003F74B7" w:rsidRDefault="00783982" w:rsidP="00755DAC">
      <w:pPr>
        <w:spacing w:after="0"/>
        <w:ind w:left="360" w:hanging="360"/>
        <w:jc w:val="both"/>
        <w:rPr>
          <w:rFonts w:ascii="Arial Narrow" w:hAnsi="Arial Narrow" w:cs="Calibri"/>
          <w:i/>
          <w:szCs w:val="20"/>
        </w:rPr>
      </w:pPr>
    </w:p>
    <w:p w:rsidR="008F0030" w:rsidRPr="003F74B7" w:rsidRDefault="00783982" w:rsidP="008F0030">
      <w:pPr>
        <w:spacing w:after="0"/>
        <w:ind w:left="360" w:hanging="360"/>
        <w:jc w:val="both"/>
        <w:rPr>
          <w:rFonts w:ascii="Arial Narrow" w:hAnsi="Arial Narrow" w:cs="Calibri"/>
          <w:szCs w:val="20"/>
          <w:u w:val="single"/>
        </w:rPr>
      </w:pPr>
      <w:r w:rsidRPr="003F74B7">
        <w:rPr>
          <w:rFonts w:ascii="Arial Narrow" w:hAnsi="Arial Narrow" w:cs="Calibri"/>
          <w:i/>
          <w:szCs w:val="20"/>
        </w:rPr>
        <w:t>- Méthodologies applicables aux reconnaissances et aux contrôles de plantes fraîches et de matières végétales sèches</w:t>
      </w:r>
      <w:r w:rsidR="008F0030" w:rsidRPr="003F74B7">
        <w:rPr>
          <w:rFonts w:ascii="Arial Narrow" w:hAnsi="Arial Narrow" w:cs="Calibri"/>
          <w:i/>
          <w:szCs w:val="20"/>
        </w:rPr>
        <w:t xml:space="preserve"> </w:t>
      </w:r>
      <w:r w:rsidRPr="003F74B7">
        <w:rPr>
          <w:rFonts w:ascii="Arial Narrow" w:hAnsi="Arial Narrow" w:cs="Calibri"/>
          <w:szCs w:val="20"/>
        </w:rPr>
        <w:t xml:space="preserve">: </w:t>
      </w:r>
      <w:r w:rsidRPr="003F74B7">
        <w:rPr>
          <w:rFonts w:ascii="Arial Narrow" w:hAnsi="Arial Narrow" w:cs="Calibri"/>
          <w:szCs w:val="20"/>
          <w:u w:val="single"/>
        </w:rPr>
        <w:t xml:space="preserve"> </w:t>
      </w:r>
    </w:p>
    <w:p w:rsidR="00730D87" w:rsidRPr="003F74B7" w:rsidRDefault="00730D87" w:rsidP="00730D87">
      <w:pPr>
        <w:numPr>
          <w:ilvl w:val="0"/>
          <w:numId w:val="2"/>
        </w:numPr>
        <w:spacing w:after="0"/>
        <w:jc w:val="both"/>
        <w:rPr>
          <w:rFonts w:ascii="Arial Narrow" w:hAnsi="Arial Narrow" w:cs="Calibri"/>
          <w:szCs w:val="20"/>
        </w:rPr>
      </w:pPr>
      <w:r w:rsidRPr="003F74B7">
        <w:rPr>
          <w:rFonts w:ascii="Arial Narrow" w:hAnsi="Arial Narrow" w:cs="Calibri"/>
          <w:szCs w:val="20"/>
        </w:rPr>
        <w:t xml:space="preserve">Méthodologies d’identification : de la biologie moléculaire aux techniques d’observation microscopiques (CM 1H - YF </w:t>
      </w:r>
      <w:proofErr w:type="spellStart"/>
      <w:r w:rsidRPr="003F74B7">
        <w:rPr>
          <w:rFonts w:ascii="Arial Narrow" w:hAnsi="Arial Narrow" w:cs="Calibri"/>
          <w:szCs w:val="20"/>
        </w:rPr>
        <w:t>Pouchus</w:t>
      </w:r>
      <w:proofErr w:type="spellEnd"/>
      <w:r w:rsidRPr="003F74B7">
        <w:rPr>
          <w:rFonts w:ascii="Arial Narrow" w:hAnsi="Arial Narrow" w:cs="Calibri"/>
          <w:szCs w:val="20"/>
        </w:rPr>
        <w:t>)</w:t>
      </w:r>
    </w:p>
    <w:p w:rsidR="00783982" w:rsidRPr="003F74B7" w:rsidRDefault="00783982" w:rsidP="00755DAC">
      <w:pPr>
        <w:spacing w:after="0"/>
        <w:ind w:left="1080"/>
        <w:jc w:val="both"/>
        <w:rPr>
          <w:rFonts w:ascii="Arial Narrow" w:hAnsi="Arial Narrow" w:cs="Calibri"/>
          <w:szCs w:val="20"/>
          <w:u w:val="single"/>
        </w:rPr>
      </w:pPr>
    </w:p>
    <w:p w:rsidR="00783982" w:rsidRPr="003F74B7" w:rsidRDefault="00783982" w:rsidP="00755DAC">
      <w:pPr>
        <w:spacing w:after="0"/>
        <w:jc w:val="both"/>
        <w:rPr>
          <w:rFonts w:ascii="Arial Narrow" w:hAnsi="Arial Narrow" w:cs="Calibri"/>
          <w:szCs w:val="20"/>
        </w:rPr>
      </w:pPr>
      <w:r w:rsidRPr="003F74B7">
        <w:rPr>
          <w:rFonts w:ascii="Arial Narrow" w:hAnsi="Arial Narrow" w:cs="Calibri"/>
          <w:i/>
          <w:szCs w:val="20"/>
        </w:rPr>
        <w:t>- Reconnaissances végétales pharmaceutiques</w:t>
      </w:r>
      <w:r w:rsidR="00357B79">
        <w:rPr>
          <w:rFonts w:ascii="Arial Narrow" w:hAnsi="Arial Narrow" w:cs="Calibri"/>
          <w:i/>
          <w:szCs w:val="20"/>
        </w:rPr>
        <w:t xml:space="preserve"> </w:t>
      </w:r>
      <w:r w:rsidRPr="003F74B7">
        <w:rPr>
          <w:rFonts w:ascii="Arial Narrow" w:hAnsi="Arial Narrow" w:cs="Calibri"/>
          <w:i/>
          <w:szCs w:val="20"/>
        </w:rPr>
        <w:t xml:space="preserve"> </w:t>
      </w:r>
      <w:r w:rsidRPr="004F28F1">
        <w:rPr>
          <w:rFonts w:ascii="Arial Narrow" w:hAnsi="Arial Narrow" w:cs="Calibri"/>
          <w:i/>
          <w:szCs w:val="20"/>
        </w:rPr>
        <w:t>(</w:t>
      </w:r>
      <w:r w:rsidR="00357B79" w:rsidRPr="004F28F1">
        <w:rPr>
          <w:rFonts w:ascii="Arial Narrow" w:hAnsi="Arial Narrow" w:cs="Calibri"/>
          <w:i/>
          <w:szCs w:val="20"/>
        </w:rPr>
        <w:t>16H</w:t>
      </w:r>
      <w:r w:rsidRPr="004F28F1">
        <w:rPr>
          <w:rFonts w:ascii="Arial Narrow" w:hAnsi="Arial Narrow" w:cs="Calibri"/>
          <w:i/>
          <w:szCs w:val="20"/>
        </w:rPr>
        <w:t xml:space="preserve"> TP</w:t>
      </w:r>
      <w:r w:rsidR="00357B79" w:rsidRPr="004F28F1">
        <w:rPr>
          <w:rFonts w:ascii="Arial Narrow" w:hAnsi="Arial Narrow" w:cs="Calibri"/>
          <w:i/>
          <w:szCs w:val="20"/>
        </w:rPr>
        <w:t>+1,5H ED</w:t>
      </w:r>
      <w:r w:rsidRPr="004F28F1">
        <w:rPr>
          <w:rFonts w:ascii="Arial Narrow" w:hAnsi="Arial Narrow" w:cs="Calibri"/>
          <w:i/>
          <w:szCs w:val="20"/>
        </w:rPr>
        <w:t>) :</w:t>
      </w:r>
      <w:r w:rsidRPr="003F74B7">
        <w:rPr>
          <w:rFonts w:ascii="Arial Narrow" w:hAnsi="Arial Narrow" w:cs="Calibri"/>
          <w:szCs w:val="20"/>
        </w:rPr>
        <w:t xml:space="preserve"> </w:t>
      </w:r>
    </w:p>
    <w:p w:rsidR="00730D87" w:rsidRPr="003F74B7" w:rsidRDefault="00730D87" w:rsidP="00730D87">
      <w:pPr>
        <w:numPr>
          <w:ilvl w:val="0"/>
          <w:numId w:val="2"/>
        </w:numPr>
        <w:spacing w:after="0"/>
        <w:jc w:val="both"/>
        <w:rPr>
          <w:rFonts w:ascii="Arial Narrow" w:hAnsi="Arial Narrow" w:cs="Calibri"/>
          <w:szCs w:val="20"/>
        </w:rPr>
      </w:pPr>
      <w:r w:rsidRPr="003F74B7">
        <w:rPr>
          <w:rFonts w:ascii="Arial Narrow" w:hAnsi="Arial Narrow" w:cs="Calibri"/>
          <w:szCs w:val="20"/>
        </w:rPr>
        <w:t xml:space="preserve">Les outils descriptifs : vocabulaire botanique, utilisation de flores, sites internet, herbier  (ED 1,5H - C </w:t>
      </w:r>
      <w:proofErr w:type="spellStart"/>
      <w:r w:rsidRPr="003F74B7">
        <w:rPr>
          <w:rFonts w:ascii="Arial Narrow" w:hAnsi="Arial Narrow" w:cs="Calibri"/>
          <w:szCs w:val="20"/>
        </w:rPr>
        <w:t>Sallenave</w:t>
      </w:r>
      <w:proofErr w:type="spellEnd"/>
      <w:r w:rsidRPr="003F74B7">
        <w:rPr>
          <w:rFonts w:ascii="Arial Narrow" w:hAnsi="Arial Narrow" w:cs="Calibri"/>
          <w:szCs w:val="20"/>
        </w:rPr>
        <w:t>-</w:t>
      </w:r>
      <w:proofErr w:type="spellStart"/>
      <w:r w:rsidRPr="003F74B7">
        <w:rPr>
          <w:rFonts w:ascii="Arial Narrow" w:hAnsi="Arial Narrow" w:cs="Calibri"/>
          <w:szCs w:val="20"/>
        </w:rPr>
        <w:t>Namont</w:t>
      </w:r>
      <w:proofErr w:type="spellEnd"/>
      <w:r w:rsidRPr="003F74B7">
        <w:rPr>
          <w:rFonts w:ascii="Arial Narrow" w:hAnsi="Arial Narrow" w:cs="Calibri"/>
          <w:szCs w:val="20"/>
        </w:rPr>
        <w:t>, N Ruiz)</w:t>
      </w:r>
    </w:p>
    <w:p w:rsidR="008F0030" w:rsidRPr="003F74B7" w:rsidRDefault="008F0030" w:rsidP="008F0030">
      <w:pPr>
        <w:numPr>
          <w:ilvl w:val="0"/>
          <w:numId w:val="2"/>
        </w:numPr>
        <w:spacing w:after="0"/>
        <w:jc w:val="both"/>
        <w:rPr>
          <w:rFonts w:ascii="Arial Narrow" w:hAnsi="Arial Narrow" w:cs="Calibri"/>
          <w:szCs w:val="20"/>
        </w:rPr>
      </w:pPr>
      <w:r w:rsidRPr="003F74B7">
        <w:rPr>
          <w:rFonts w:ascii="Arial Narrow" w:hAnsi="Arial Narrow" w:cs="Calibri"/>
          <w:szCs w:val="20"/>
        </w:rPr>
        <w:lastRenderedPageBreak/>
        <w:t>Les plantes fraîches régionales d’intérêt pharmaceutique</w:t>
      </w:r>
      <w:r w:rsidR="00730D87" w:rsidRPr="003F74B7">
        <w:rPr>
          <w:rFonts w:ascii="Arial Narrow" w:hAnsi="Arial Narrow" w:cs="Calibri"/>
          <w:szCs w:val="20"/>
        </w:rPr>
        <w:t xml:space="preserve"> et </w:t>
      </w:r>
      <w:r w:rsidRPr="003F74B7">
        <w:rPr>
          <w:rFonts w:ascii="Arial Narrow" w:hAnsi="Arial Narrow" w:cs="Calibri"/>
          <w:szCs w:val="20"/>
        </w:rPr>
        <w:t xml:space="preserve">visite d’un producteur de plantes à usage pharmaceutique (TP 10H dont 2 sorties terrain) (C </w:t>
      </w:r>
      <w:proofErr w:type="spellStart"/>
      <w:r w:rsidRPr="003F74B7">
        <w:rPr>
          <w:rFonts w:ascii="Arial Narrow" w:hAnsi="Arial Narrow" w:cs="Calibri"/>
          <w:szCs w:val="20"/>
        </w:rPr>
        <w:t>Sallenave</w:t>
      </w:r>
      <w:proofErr w:type="spellEnd"/>
      <w:r w:rsidRPr="003F74B7">
        <w:rPr>
          <w:rFonts w:ascii="Arial Narrow" w:hAnsi="Arial Narrow" w:cs="Calibri"/>
          <w:szCs w:val="20"/>
        </w:rPr>
        <w:t>-</w:t>
      </w:r>
      <w:proofErr w:type="spellStart"/>
      <w:r w:rsidRPr="003F74B7">
        <w:rPr>
          <w:rFonts w:ascii="Arial Narrow" w:hAnsi="Arial Narrow" w:cs="Calibri"/>
          <w:szCs w:val="20"/>
        </w:rPr>
        <w:t>Namont</w:t>
      </w:r>
      <w:proofErr w:type="spellEnd"/>
      <w:r w:rsidRPr="003F74B7">
        <w:rPr>
          <w:rFonts w:ascii="Arial Narrow" w:hAnsi="Arial Narrow" w:cs="Calibri"/>
          <w:szCs w:val="20"/>
        </w:rPr>
        <w:t xml:space="preserve"> et N Ruiz)</w:t>
      </w:r>
    </w:p>
    <w:p w:rsidR="008F0030" w:rsidRPr="003F74B7" w:rsidRDefault="008F0030" w:rsidP="008F0030">
      <w:pPr>
        <w:numPr>
          <w:ilvl w:val="0"/>
          <w:numId w:val="2"/>
        </w:numPr>
        <w:spacing w:after="0"/>
        <w:jc w:val="both"/>
        <w:rPr>
          <w:rFonts w:ascii="Arial Narrow" w:hAnsi="Arial Narrow" w:cs="Calibri"/>
          <w:szCs w:val="20"/>
        </w:rPr>
      </w:pPr>
      <w:r w:rsidRPr="003F74B7">
        <w:rPr>
          <w:rFonts w:ascii="Arial Narrow" w:hAnsi="Arial Narrow" w:cs="Calibri"/>
          <w:szCs w:val="20"/>
        </w:rPr>
        <w:t>Les drogues et matières végétales sèches d’usage pharmaceutique</w:t>
      </w:r>
      <w:r w:rsidR="00730D87" w:rsidRPr="003F74B7">
        <w:rPr>
          <w:rFonts w:ascii="Arial Narrow" w:hAnsi="Arial Narrow" w:cs="Calibri"/>
          <w:szCs w:val="20"/>
        </w:rPr>
        <w:t xml:space="preserve"> et é</w:t>
      </w:r>
      <w:r w:rsidRPr="003F74B7">
        <w:rPr>
          <w:rFonts w:ascii="Arial Narrow" w:hAnsi="Arial Narrow" w:cs="Calibri"/>
          <w:szCs w:val="20"/>
        </w:rPr>
        <w:t>tude microscopique des structures végétales (TP 6H, K Petit, ATER)</w:t>
      </w:r>
    </w:p>
    <w:p w:rsidR="008F0030" w:rsidRPr="003F74B7" w:rsidRDefault="008F0030" w:rsidP="00755DAC">
      <w:pPr>
        <w:spacing w:after="0"/>
        <w:jc w:val="both"/>
        <w:rPr>
          <w:rFonts w:ascii="Arial Narrow" w:hAnsi="Arial Narrow" w:cs="Calibri"/>
          <w:i/>
          <w:szCs w:val="20"/>
        </w:rPr>
      </w:pPr>
    </w:p>
    <w:p w:rsidR="00783982" w:rsidRPr="003F74B7" w:rsidRDefault="00783982" w:rsidP="00755DAC">
      <w:pPr>
        <w:spacing w:after="0"/>
        <w:jc w:val="both"/>
        <w:rPr>
          <w:rFonts w:ascii="Arial Narrow" w:hAnsi="Arial Narrow" w:cs="Calibri"/>
          <w:szCs w:val="20"/>
        </w:rPr>
      </w:pPr>
      <w:r w:rsidRPr="003F74B7">
        <w:rPr>
          <w:rFonts w:ascii="Arial Narrow" w:hAnsi="Arial Narrow" w:cs="Calibri"/>
          <w:i/>
          <w:szCs w:val="20"/>
        </w:rPr>
        <w:t>- Exercices d’application (</w:t>
      </w:r>
      <w:r w:rsidR="008F0030" w:rsidRPr="003F74B7">
        <w:rPr>
          <w:rFonts w:ascii="Arial Narrow" w:hAnsi="Arial Narrow" w:cs="Calibri"/>
          <w:i/>
          <w:szCs w:val="20"/>
        </w:rPr>
        <w:t xml:space="preserve">ED 3H + travail </w:t>
      </w:r>
      <w:r w:rsidR="00730D87" w:rsidRPr="003F74B7">
        <w:rPr>
          <w:rFonts w:ascii="Arial Narrow" w:hAnsi="Arial Narrow" w:cs="Calibri"/>
          <w:i/>
          <w:szCs w:val="20"/>
        </w:rPr>
        <w:t>personnel</w:t>
      </w:r>
      <w:r w:rsidRPr="003F74B7">
        <w:rPr>
          <w:rFonts w:ascii="Arial Narrow" w:hAnsi="Arial Narrow" w:cs="Calibri"/>
          <w:i/>
          <w:szCs w:val="20"/>
        </w:rPr>
        <w:t xml:space="preserve">) : </w:t>
      </w:r>
    </w:p>
    <w:p w:rsidR="00783982" w:rsidRPr="003F74B7" w:rsidRDefault="00783982" w:rsidP="00755DAC">
      <w:pPr>
        <w:numPr>
          <w:ilvl w:val="0"/>
          <w:numId w:val="2"/>
        </w:numPr>
        <w:spacing w:after="0"/>
        <w:jc w:val="both"/>
        <w:rPr>
          <w:rFonts w:ascii="Arial Narrow" w:hAnsi="Arial Narrow" w:cs="Calibri"/>
          <w:szCs w:val="20"/>
        </w:rPr>
      </w:pPr>
      <w:r w:rsidRPr="003F74B7">
        <w:rPr>
          <w:rFonts w:ascii="Arial Narrow" w:hAnsi="Arial Narrow" w:cs="Calibri"/>
          <w:szCs w:val="20"/>
        </w:rPr>
        <w:t>Réalisation d’un herbier collectif</w:t>
      </w:r>
    </w:p>
    <w:p w:rsidR="008F0030" w:rsidRPr="003F74B7" w:rsidRDefault="008F0030" w:rsidP="00755DAC">
      <w:pPr>
        <w:numPr>
          <w:ilvl w:val="0"/>
          <w:numId w:val="2"/>
        </w:numPr>
        <w:spacing w:after="0"/>
        <w:jc w:val="both"/>
        <w:rPr>
          <w:rFonts w:ascii="Arial Narrow" w:hAnsi="Arial Narrow" w:cs="Calibri"/>
          <w:szCs w:val="20"/>
        </w:rPr>
      </w:pPr>
      <w:r w:rsidRPr="003F74B7">
        <w:rPr>
          <w:rFonts w:ascii="Arial Narrow" w:hAnsi="Arial Narrow" w:cs="Calibri"/>
          <w:szCs w:val="20"/>
        </w:rPr>
        <w:t>étude de cas en groupe</w:t>
      </w:r>
    </w:p>
    <w:p w:rsidR="00783982" w:rsidRPr="003F74B7" w:rsidRDefault="00783982" w:rsidP="00017A63">
      <w:pPr>
        <w:spacing w:after="0"/>
        <w:ind w:left="720"/>
        <w:jc w:val="both"/>
        <w:rPr>
          <w:rFonts w:ascii="Arial Narrow" w:hAnsi="Arial Narrow" w:cs="Calibri"/>
          <w:szCs w:val="20"/>
        </w:rPr>
      </w:pPr>
    </w:p>
    <w:p w:rsidR="00783982" w:rsidRPr="003F74B7" w:rsidRDefault="00783982" w:rsidP="00755DAC">
      <w:pPr>
        <w:spacing w:after="0"/>
        <w:jc w:val="both"/>
        <w:rPr>
          <w:rFonts w:ascii="Arial Narrow" w:hAnsi="Arial Narrow" w:cs="Calibri"/>
          <w:szCs w:val="20"/>
        </w:rPr>
      </w:pPr>
      <w:r w:rsidRPr="003F74B7">
        <w:rPr>
          <w:rFonts w:ascii="Arial Narrow" w:hAnsi="Arial Narrow" w:cs="Calibri"/>
          <w:b/>
          <w:szCs w:val="20"/>
        </w:rPr>
        <w:t>Organisation</w:t>
      </w:r>
      <w:r w:rsidRPr="003F74B7">
        <w:rPr>
          <w:rFonts w:ascii="Arial Narrow" w:hAnsi="Arial Narrow" w:cs="Calibri"/>
          <w:szCs w:val="20"/>
        </w:rPr>
        <w:t xml:space="preserve"> : Le module RCPP est essentiellement pratique et est donc majoritairement constitué de travaux dirigés et pratiques et de sorties sur le terrain. </w:t>
      </w:r>
    </w:p>
    <w:p w:rsidR="00783982" w:rsidRPr="003F74B7" w:rsidRDefault="00783982" w:rsidP="00755DAC">
      <w:pPr>
        <w:spacing w:after="0"/>
        <w:rPr>
          <w:rFonts w:ascii="Arial Narrow" w:hAnsi="Arial Narrow" w:cs="Calibri"/>
          <w:b/>
          <w:sz w:val="28"/>
          <w:szCs w:val="24"/>
        </w:rPr>
      </w:pPr>
    </w:p>
    <w:p w:rsidR="00783982" w:rsidRPr="003F74B7" w:rsidRDefault="00783982" w:rsidP="00755DAC">
      <w:pPr>
        <w:spacing w:after="0"/>
        <w:rPr>
          <w:rFonts w:ascii="Arial Narrow" w:hAnsi="Arial Narrow" w:cs="Calibri"/>
          <w:b/>
          <w:sz w:val="28"/>
          <w:szCs w:val="24"/>
        </w:rPr>
      </w:pPr>
      <w:r w:rsidRPr="003F74B7">
        <w:rPr>
          <w:rFonts w:ascii="Arial Narrow" w:hAnsi="Arial Narrow" w:cs="Calibri"/>
          <w:b/>
          <w:sz w:val="28"/>
          <w:szCs w:val="24"/>
        </w:rPr>
        <w:t>Modalités d’évaluation :</w:t>
      </w:r>
    </w:p>
    <w:p w:rsidR="00783982" w:rsidRPr="003F74B7" w:rsidRDefault="00783982" w:rsidP="00755DAC">
      <w:pPr>
        <w:spacing w:after="0"/>
        <w:jc w:val="both"/>
        <w:rPr>
          <w:rFonts w:ascii="Arial Narrow" w:hAnsi="Arial Narrow" w:cs="Calibri"/>
          <w:szCs w:val="20"/>
        </w:rPr>
      </w:pPr>
      <w:r w:rsidRPr="003F74B7">
        <w:rPr>
          <w:rFonts w:ascii="Arial Narrow" w:hAnsi="Arial Narrow" w:cs="Calibri"/>
          <w:szCs w:val="20"/>
        </w:rPr>
        <w:t xml:space="preserve">L’évaluation globale du module RCPP est basée sur </w:t>
      </w:r>
      <w:r w:rsidR="008F0030" w:rsidRPr="003F74B7">
        <w:rPr>
          <w:rFonts w:ascii="Arial Narrow" w:hAnsi="Arial Narrow" w:cs="Calibri"/>
          <w:szCs w:val="20"/>
        </w:rPr>
        <w:t>contrôle continu (100 points) constitué par</w:t>
      </w:r>
      <w:r w:rsidRPr="003F74B7">
        <w:rPr>
          <w:rFonts w:ascii="Arial Narrow" w:hAnsi="Arial Narrow" w:cs="Calibri"/>
          <w:szCs w:val="20"/>
        </w:rPr>
        <w:t> :</w:t>
      </w:r>
    </w:p>
    <w:p w:rsidR="00783982" w:rsidRPr="003F74B7" w:rsidRDefault="008F0030" w:rsidP="00755DAC">
      <w:pPr>
        <w:numPr>
          <w:ilvl w:val="0"/>
          <w:numId w:val="1"/>
        </w:numPr>
        <w:spacing w:after="0"/>
        <w:jc w:val="both"/>
        <w:rPr>
          <w:rFonts w:ascii="Arial Narrow" w:hAnsi="Arial Narrow" w:cs="Calibri"/>
          <w:szCs w:val="20"/>
        </w:rPr>
      </w:pPr>
      <w:r w:rsidRPr="003F74B7">
        <w:rPr>
          <w:rFonts w:ascii="Arial Narrow" w:hAnsi="Arial Narrow" w:cs="Calibri"/>
          <w:szCs w:val="20"/>
        </w:rPr>
        <w:t xml:space="preserve">Reconnaissances plantes </w:t>
      </w:r>
      <w:r w:rsidR="00730D87" w:rsidRPr="003F74B7">
        <w:rPr>
          <w:rFonts w:ascii="Arial Narrow" w:hAnsi="Arial Narrow" w:cs="Calibri"/>
          <w:szCs w:val="20"/>
        </w:rPr>
        <w:t>fraîches</w:t>
      </w:r>
      <w:r w:rsidRPr="003F74B7">
        <w:rPr>
          <w:rFonts w:ascii="Arial Narrow" w:hAnsi="Arial Narrow" w:cs="Calibri"/>
          <w:szCs w:val="20"/>
        </w:rPr>
        <w:t>, plantes sèches, structures végétales (40 points)</w:t>
      </w:r>
    </w:p>
    <w:p w:rsidR="008F0030" w:rsidRPr="003F74B7" w:rsidRDefault="008F0030" w:rsidP="00755DAC">
      <w:pPr>
        <w:numPr>
          <w:ilvl w:val="0"/>
          <w:numId w:val="1"/>
        </w:numPr>
        <w:spacing w:after="0"/>
        <w:jc w:val="both"/>
        <w:rPr>
          <w:rFonts w:ascii="Arial Narrow" w:hAnsi="Arial Narrow" w:cs="Calibri"/>
          <w:szCs w:val="20"/>
        </w:rPr>
      </w:pPr>
      <w:r w:rsidRPr="003F74B7">
        <w:rPr>
          <w:rFonts w:ascii="Arial Narrow" w:hAnsi="Arial Narrow" w:cs="Calibri"/>
          <w:szCs w:val="20"/>
        </w:rPr>
        <w:t>Etude de cas en groupe (40 points)</w:t>
      </w:r>
    </w:p>
    <w:p w:rsidR="008F0030" w:rsidRPr="003F74B7" w:rsidRDefault="008F0030" w:rsidP="00755DAC">
      <w:pPr>
        <w:numPr>
          <w:ilvl w:val="0"/>
          <w:numId w:val="1"/>
        </w:numPr>
        <w:spacing w:after="0"/>
        <w:jc w:val="both"/>
        <w:rPr>
          <w:rFonts w:ascii="Arial Narrow" w:hAnsi="Arial Narrow" w:cs="Calibri"/>
          <w:szCs w:val="20"/>
        </w:rPr>
      </w:pPr>
      <w:r w:rsidRPr="003F74B7">
        <w:rPr>
          <w:rFonts w:ascii="Arial Narrow" w:hAnsi="Arial Narrow" w:cs="Calibri"/>
          <w:szCs w:val="20"/>
        </w:rPr>
        <w:t>Herbier (20 points)</w:t>
      </w:r>
    </w:p>
    <w:p w:rsidR="00783982" w:rsidRPr="003F74B7" w:rsidRDefault="00783982" w:rsidP="00755DAC">
      <w:pPr>
        <w:spacing w:after="0"/>
        <w:rPr>
          <w:rFonts w:ascii="Arial Narrow" w:hAnsi="Arial Narrow" w:cs="Calibri"/>
          <w:b/>
          <w:sz w:val="24"/>
        </w:rPr>
      </w:pPr>
    </w:p>
    <w:p w:rsidR="00783982" w:rsidRPr="003F74B7" w:rsidRDefault="00783982" w:rsidP="00755DAC">
      <w:pPr>
        <w:spacing w:after="0"/>
        <w:rPr>
          <w:rFonts w:ascii="Arial Narrow" w:hAnsi="Arial Narrow" w:cs="Calibri"/>
          <w:b/>
          <w:sz w:val="28"/>
          <w:szCs w:val="24"/>
        </w:rPr>
      </w:pPr>
      <w:r w:rsidRPr="003F74B7">
        <w:rPr>
          <w:rFonts w:ascii="Arial Narrow" w:hAnsi="Arial Narrow" w:cs="Calibri"/>
          <w:b/>
          <w:sz w:val="28"/>
          <w:szCs w:val="24"/>
        </w:rPr>
        <w:t xml:space="preserve">Pré-requis : </w:t>
      </w:r>
    </w:p>
    <w:p w:rsidR="001A081A" w:rsidRPr="003F74B7" w:rsidRDefault="001A081A" w:rsidP="001A081A">
      <w:pPr>
        <w:numPr>
          <w:ilvl w:val="0"/>
          <w:numId w:val="1"/>
        </w:numPr>
        <w:spacing w:after="0"/>
        <w:jc w:val="both"/>
        <w:rPr>
          <w:rFonts w:ascii="Arial Narrow" w:hAnsi="Arial Narrow" w:cs="Calibri"/>
          <w:szCs w:val="20"/>
        </w:rPr>
      </w:pPr>
      <w:r w:rsidRPr="003F74B7">
        <w:rPr>
          <w:rFonts w:ascii="Arial Narrow" w:hAnsi="Arial Narrow" w:cs="Calibri"/>
          <w:szCs w:val="20"/>
        </w:rPr>
        <w:t>PACES – UE7 – el 2 : l’homme et son environnement</w:t>
      </w:r>
    </w:p>
    <w:p w:rsidR="001A081A" w:rsidRPr="003F74B7" w:rsidRDefault="001A081A" w:rsidP="001A081A">
      <w:pPr>
        <w:numPr>
          <w:ilvl w:val="0"/>
          <w:numId w:val="1"/>
        </w:numPr>
        <w:spacing w:after="0"/>
        <w:jc w:val="both"/>
        <w:rPr>
          <w:rFonts w:ascii="Arial Narrow" w:hAnsi="Arial Narrow" w:cs="Calibri"/>
          <w:szCs w:val="20"/>
        </w:rPr>
      </w:pPr>
      <w:r w:rsidRPr="003F74B7">
        <w:rPr>
          <w:rFonts w:ascii="Arial Narrow" w:hAnsi="Arial Narrow" w:cs="Calibri"/>
          <w:szCs w:val="20"/>
        </w:rPr>
        <w:t>PACES – SP8 : les organismes eucaryotes d’intérêt pharmaceutique…</w:t>
      </w:r>
    </w:p>
    <w:p w:rsidR="00783982" w:rsidRPr="003F74B7" w:rsidRDefault="00783982" w:rsidP="00755DAC">
      <w:pPr>
        <w:spacing w:after="0"/>
        <w:rPr>
          <w:rFonts w:ascii="Arial Narrow" w:hAnsi="Arial Narrow" w:cs="Calibri"/>
          <w:sz w:val="24"/>
          <w:szCs w:val="24"/>
        </w:rPr>
      </w:pPr>
    </w:p>
    <w:p w:rsidR="00730D87" w:rsidRPr="003F74B7" w:rsidRDefault="00730D87" w:rsidP="00755DAC">
      <w:pPr>
        <w:spacing w:after="0"/>
        <w:rPr>
          <w:rFonts w:ascii="Arial Narrow" w:hAnsi="Arial Narrow" w:cs="Calibri"/>
          <w:sz w:val="24"/>
          <w:szCs w:val="24"/>
        </w:rPr>
      </w:pPr>
    </w:p>
    <w:p w:rsidR="005D648E" w:rsidRPr="003F74B7" w:rsidRDefault="005D648E" w:rsidP="00755DAC">
      <w:pPr>
        <w:spacing w:after="0"/>
        <w:rPr>
          <w:rFonts w:ascii="Arial Narrow" w:hAnsi="Arial Narrow" w:cs="Calibri"/>
          <w:sz w:val="24"/>
          <w:szCs w:val="24"/>
        </w:rPr>
      </w:pPr>
    </w:p>
    <w:p w:rsidR="005D648E" w:rsidRPr="003F74B7" w:rsidRDefault="005D648E" w:rsidP="005D648E">
      <w:pPr>
        <w:spacing w:after="0"/>
        <w:rPr>
          <w:rFonts w:ascii="Arial Narrow" w:hAnsi="Arial Narrow" w:cs="Calibri"/>
          <w:b/>
          <w:sz w:val="28"/>
          <w:szCs w:val="24"/>
        </w:rPr>
      </w:pPr>
      <w:r w:rsidRPr="003F74B7">
        <w:rPr>
          <w:rFonts w:ascii="Arial Narrow" w:hAnsi="Arial Narrow" w:cs="Calibri"/>
          <w:b/>
          <w:sz w:val="28"/>
          <w:szCs w:val="24"/>
        </w:rPr>
        <w:t>Planning prévisionnel :</w:t>
      </w:r>
    </w:p>
    <w:p w:rsidR="005D648E" w:rsidRPr="003F74B7" w:rsidRDefault="005D648E" w:rsidP="00755DAC">
      <w:pPr>
        <w:spacing w:after="0"/>
        <w:rPr>
          <w:rFonts w:ascii="Arial Narrow" w:hAnsi="Arial Narrow" w:cs="Calibri"/>
          <w:sz w:val="24"/>
          <w:szCs w:val="24"/>
        </w:rPr>
      </w:pPr>
    </w:p>
    <w:p w:rsidR="005D648E" w:rsidRPr="003F74B7" w:rsidRDefault="005D648E" w:rsidP="00755DAC">
      <w:pPr>
        <w:spacing w:after="0"/>
        <w:rPr>
          <w:rFonts w:ascii="Arial Narrow" w:hAnsi="Arial Narrow" w:cs="Calibri"/>
          <w:sz w:val="24"/>
          <w:szCs w:val="24"/>
        </w:rPr>
      </w:pPr>
    </w:p>
    <w:p w:rsidR="00730D87" w:rsidRPr="003F74B7" w:rsidRDefault="00DC5479" w:rsidP="00755DAC">
      <w:pPr>
        <w:spacing w:after="0"/>
        <w:rPr>
          <w:rFonts w:ascii="Arial Narrow" w:hAnsi="Arial Narrow" w:cs="Calibri"/>
          <w:sz w:val="24"/>
          <w:szCs w:val="24"/>
        </w:rPr>
      </w:pPr>
      <w:r>
        <w:rPr>
          <w:rFonts w:ascii="Arial Narrow" w:hAnsi="Arial Narrow"/>
          <w:noProof/>
          <w:lang w:eastAsia="fr-FR"/>
        </w:rPr>
        <w:drawing>
          <wp:inline distT="0" distB="0" distL="0" distR="0">
            <wp:extent cx="5753100" cy="305752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53100" cy="3057525"/>
                    </a:xfrm>
                    <a:prstGeom prst="rect">
                      <a:avLst/>
                    </a:prstGeom>
                    <a:noFill/>
                    <a:ln w="9525">
                      <a:noFill/>
                      <a:miter lim="800000"/>
                      <a:headEnd/>
                      <a:tailEnd/>
                    </a:ln>
                  </pic:spPr>
                </pic:pic>
              </a:graphicData>
            </a:graphic>
          </wp:inline>
        </w:drawing>
      </w:r>
    </w:p>
    <w:sectPr w:rsidR="00730D87" w:rsidRPr="003F74B7" w:rsidSect="00021E12">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3AB" w:rsidRDefault="006E13AB" w:rsidP="004636E9">
      <w:pPr>
        <w:spacing w:after="0" w:line="240" w:lineRule="auto"/>
      </w:pPr>
      <w:r>
        <w:separator/>
      </w:r>
    </w:p>
  </w:endnote>
  <w:endnote w:type="continuationSeparator" w:id="0">
    <w:p w:rsidR="006E13AB" w:rsidRDefault="006E13AB" w:rsidP="004636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3AB" w:rsidRDefault="006E13AB" w:rsidP="004636E9">
      <w:pPr>
        <w:spacing w:after="0" w:line="240" w:lineRule="auto"/>
      </w:pPr>
      <w:r>
        <w:separator/>
      </w:r>
    </w:p>
  </w:footnote>
  <w:footnote w:type="continuationSeparator" w:id="0">
    <w:p w:rsidR="006E13AB" w:rsidRDefault="006E13AB" w:rsidP="004636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6E9" w:rsidRDefault="004636E9" w:rsidP="007916A2">
    <w:pPr>
      <w:pStyle w:val="En-tte"/>
      <w:tabs>
        <w:tab w:val="clear" w:pos="4536"/>
        <w:tab w:val="clear" w:pos="9072"/>
        <w:tab w:val="left" w:pos="7797"/>
      </w:tabs>
    </w:pPr>
    <w:r>
      <w:rPr>
        <w:noProof/>
        <w:lang w:eastAsia="fr-FR"/>
      </w:rPr>
      <w:pict>
        <v:shapetype id="_x0000_t202" coordsize="21600,21600" o:spt="202" path="m,l,21600r21600,l21600,xe">
          <v:stroke joinstyle="miter"/>
          <v:path gradientshapeok="t" o:connecttype="rect"/>
        </v:shapetype>
        <v:shape id="_x0000_s2050" type="#_x0000_t202" style="position:absolute;margin-left:432.35pt;margin-top:14.2pt;width:60.8pt;height:27.6pt;z-index:251661312" stroked="f">
          <v:textbox>
            <w:txbxContent>
              <w:p w:rsidR="004636E9" w:rsidRPr="004C5115" w:rsidRDefault="004636E9">
                <w:pPr>
                  <w:rPr>
                    <w:sz w:val="12"/>
                  </w:rPr>
                </w:pPr>
                <w:r w:rsidRPr="004C5115">
                  <w:rPr>
                    <w:sz w:val="16"/>
                  </w:rPr>
                  <w:t>Mise à jour le 17/01/2013</w:t>
                </w:r>
              </w:p>
            </w:txbxContent>
          </v:textbox>
        </v:shape>
      </w:pict>
    </w:r>
    <w:r>
      <w:rPr>
        <w:noProof/>
        <w:lang w:eastAsia="fr-FR"/>
      </w:rPr>
      <w:pict>
        <v:shape id="_x0000_s2049" type="#_x0000_t202" style="position:absolute;margin-left:303.15pt;margin-top:1.8pt;width:88.8pt;height:40pt;z-index:251660288" stroked="f">
          <v:textbox>
            <w:txbxContent>
              <w:p w:rsidR="004636E9" w:rsidRPr="007916A2" w:rsidRDefault="004636E9">
                <w:pPr>
                  <w:rPr>
                    <w:color w:val="17365D" w:themeColor="text2" w:themeShade="BF"/>
                    <w:sz w:val="18"/>
                  </w:rPr>
                </w:pPr>
                <w:r w:rsidRPr="007916A2">
                  <w:rPr>
                    <w:rFonts w:ascii="Arial" w:hAnsi="Arial" w:cs="Arial"/>
                    <w:noProof/>
                    <w:color w:val="17365D" w:themeColor="text2" w:themeShade="BF"/>
                    <w:sz w:val="16"/>
                    <w:lang w:eastAsia="fr-FR"/>
                  </w:rPr>
                  <w:t>UFR des Sciences Pharmaceutiques et Biologiques</w:t>
                </w:r>
              </w:p>
            </w:txbxContent>
          </v:textbox>
        </v:shape>
      </w:pict>
    </w:r>
    <w:r>
      <w:rPr>
        <w:noProof/>
        <w:lang w:eastAsia="fr-FR"/>
      </w:rPr>
      <w:drawing>
        <wp:inline distT="0" distB="0" distL="0" distR="0">
          <wp:extent cx="1017852" cy="552450"/>
          <wp:effectExtent l="19050" t="0" r="0" b="0"/>
          <wp:docPr id="2" name="Image 0" descr="logo un2011quadri_larg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2011quadri_larg100.png"/>
                  <pic:cNvPicPr/>
                </pic:nvPicPr>
                <pic:blipFill>
                  <a:blip r:embed="rId1"/>
                  <a:stretch>
                    <a:fillRect/>
                  </a:stretch>
                </pic:blipFill>
                <pic:spPr>
                  <a:xfrm>
                    <a:off x="0" y="0"/>
                    <a:ext cx="1018450" cy="552775"/>
                  </a:xfrm>
                  <a:prstGeom prst="rect">
                    <a:avLst/>
                  </a:prstGeom>
                </pic:spPr>
              </pic:pic>
            </a:graphicData>
          </a:graphic>
        </wp:inline>
      </w:drawing>
    </w:r>
    <w:r>
      <w:rPr>
        <w:noProof/>
        <w:lang w:eastAsia="fr-FR"/>
      </w:rPr>
      <w:t xml:space="preserve">  </w:t>
    </w:r>
    <w:r>
      <w:rPr>
        <w:noProof/>
        <w:lang w:eastAsia="fr-FR"/>
      </w:rPr>
      <w:tab/>
    </w:r>
    <w:r>
      <w:rPr>
        <w:noProof/>
        <w:lang w:eastAsia="fr-FR"/>
      </w:rPr>
      <w:drawing>
        <wp:inline distT="0" distB="0" distL="0" distR="0">
          <wp:extent cx="450056" cy="571500"/>
          <wp:effectExtent l="19050" t="0" r="7144" b="0"/>
          <wp:docPr id="5" name="Image 2" descr="Logo phar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harma-1.jpg"/>
                  <pic:cNvPicPr/>
                </pic:nvPicPr>
                <pic:blipFill>
                  <a:blip r:embed="rId2"/>
                  <a:stretch>
                    <a:fillRect/>
                  </a:stretch>
                </pic:blipFill>
                <pic:spPr>
                  <a:xfrm>
                    <a:off x="0" y="0"/>
                    <a:ext cx="450056" cy="571500"/>
                  </a:xfrm>
                  <a:prstGeom prst="rect">
                    <a:avLst/>
                  </a:prstGeom>
                </pic:spPr>
              </pic:pic>
            </a:graphicData>
          </a:graphic>
        </wp:inline>
      </w:drawing>
    </w:r>
  </w:p>
  <w:p w:rsidR="004636E9" w:rsidRDefault="004636E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1851"/>
    <w:multiLevelType w:val="hybridMultilevel"/>
    <w:tmpl w:val="CDFE4500"/>
    <w:lvl w:ilvl="0" w:tplc="64AECF10">
      <w:start w:val="1"/>
      <w:numFmt w:val="bullet"/>
      <w:lvlText w:val=""/>
      <w:lvlJc w:val="left"/>
      <w:pPr>
        <w:tabs>
          <w:tab w:val="num" w:pos="720"/>
        </w:tabs>
        <w:ind w:left="720" w:hanging="360"/>
      </w:pPr>
      <w:rPr>
        <w:rFonts w:ascii="Symbol" w:hAnsi="Symbol" w:hint="default"/>
        <w:sz w:val="20"/>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78F63D7A"/>
    <w:multiLevelType w:val="hybridMultilevel"/>
    <w:tmpl w:val="83B667A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590D1E"/>
    <w:rsid w:val="00017A63"/>
    <w:rsid w:val="00021E12"/>
    <w:rsid w:val="000E4ED8"/>
    <w:rsid w:val="000F5B11"/>
    <w:rsid w:val="001A081A"/>
    <w:rsid w:val="001D0632"/>
    <w:rsid w:val="0023755A"/>
    <w:rsid w:val="002F03C1"/>
    <w:rsid w:val="00317BB9"/>
    <w:rsid w:val="00357B79"/>
    <w:rsid w:val="003F74B7"/>
    <w:rsid w:val="004528C2"/>
    <w:rsid w:val="004636E9"/>
    <w:rsid w:val="004F28F1"/>
    <w:rsid w:val="00590D1E"/>
    <w:rsid w:val="005D648E"/>
    <w:rsid w:val="00684B6F"/>
    <w:rsid w:val="00691FFE"/>
    <w:rsid w:val="006E13AB"/>
    <w:rsid w:val="00730D87"/>
    <w:rsid w:val="00737166"/>
    <w:rsid w:val="00755DAC"/>
    <w:rsid w:val="00783982"/>
    <w:rsid w:val="008D4736"/>
    <w:rsid w:val="008E6576"/>
    <w:rsid w:val="008F0030"/>
    <w:rsid w:val="00AA07E9"/>
    <w:rsid w:val="00D3194B"/>
    <w:rsid w:val="00D60AE6"/>
    <w:rsid w:val="00DC5479"/>
    <w:rsid w:val="00F26659"/>
    <w:rsid w:val="00FA0675"/>
    <w:rsid w:val="00FD021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E12"/>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84B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auNormal"/>
    <w:uiPriority w:val="60"/>
    <w:rsid w:val="00684B6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1">
    <w:name w:val="Light Shading - Accent 11"/>
    <w:basedOn w:val="TableauNormal"/>
    <w:uiPriority w:val="60"/>
    <w:rsid w:val="00684B6F"/>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LightShading-Accent2">
    <w:name w:val="Light Shading - Accent 2"/>
    <w:basedOn w:val="TableauNormal"/>
    <w:uiPriority w:val="60"/>
    <w:rsid w:val="00684B6F"/>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LightShading-Accent3">
    <w:name w:val="Light Shading - Accent 3"/>
    <w:basedOn w:val="TableauNormal"/>
    <w:uiPriority w:val="60"/>
    <w:rsid w:val="00684B6F"/>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LightShading-Accent5">
    <w:name w:val="Light Shading - Accent 5"/>
    <w:basedOn w:val="TableauNormal"/>
    <w:uiPriority w:val="60"/>
    <w:rsid w:val="00684B6F"/>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En-tte">
    <w:name w:val="header"/>
    <w:basedOn w:val="Normal"/>
    <w:link w:val="En-tteCar"/>
    <w:uiPriority w:val="99"/>
    <w:unhideWhenUsed/>
    <w:rsid w:val="004636E9"/>
    <w:pPr>
      <w:tabs>
        <w:tab w:val="center" w:pos="4536"/>
        <w:tab w:val="right" w:pos="9072"/>
      </w:tabs>
      <w:spacing w:after="0" w:line="240" w:lineRule="auto"/>
    </w:pPr>
  </w:style>
  <w:style w:type="character" w:customStyle="1" w:styleId="En-tteCar">
    <w:name w:val="En-tête Car"/>
    <w:basedOn w:val="Policepardfaut"/>
    <w:link w:val="En-tte"/>
    <w:uiPriority w:val="99"/>
    <w:rsid w:val="004636E9"/>
    <w:rPr>
      <w:sz w:val="22"/>
      <w:szCs w:val="22"/>
      <w:lang w:eastAsia="en-US"/>
    </w:rPr>
  </w:style>
  <w:style w:type="paragraph" w:styleId="Pieddepage">
    <w:name w:val="footer"/>
    <w:basedOn w:val="Normal"/>
    <w:link w:val="PieddepageCar"/>
    <w:uiPriority w:val="99"/>
    <w:semiHidden/>
    <w:unhideWhenUsed/>
    <w:rsid w:val="004636E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636E9"/>
    <w:rPr>
      <w:sz w:val="22"/>
      <w:szCs w:val="22"/>
      <w:lang w:eastAsia="en-US"/>
    </w:rPr>
  </w:style>
  <w:style w:type="paragraph" w:styleId="Textedebulles">
    <w:name w:val="Balloon Text"/>
    <w:basedOn w:val="Normal"/>
    <w:link w:val="TextedebullesCar"/>
    <w:uiPriority w:val="99"/>
    <w:semiHidden/>
    <w:unhideWhenUsed/>
    <w:rsid w:val="004636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36E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458</Words>
  <Characters>2524</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Intitulé de l’EC : Module optionnel LS4OP1 –</vt:lpstr>
    </vt:vector>
  </TitlesOfParts>
  <Company/>
  <LinksUpToDate>false</LinksUpToDate>
  <CharactersWithSpaces>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Intitulé de l’EC : Module optionnel LS4OP1 –</dc:title>
  <dc:subject/>
  <dc:creator>Karina</dc:creator>
  <cp:keywords/>
  <dc:description/>
  <cp:lastModifiedBy> </cp:lastModifiedBy>
  <cp:revision>4</cp:revision>
  <dcterms:created xsi:type="dcterms:W3CDTF">2013-01-18T15:06:00Z</dcterms:created>
  <dcterms:modified xsi:type="dcterms:W3CDTF">2013-01-18T15:08:00Z</dcterms:modified>
</cp:coreProperties>
</file>